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A714BF">
      <w:pPr>
        <w:rPr>
          <w:rFonts w:hint="default" w:ascii="Times New Roman" w:hAnsi="Times New Roman" w:cs="Times New Roman"/>
          <w:b/>
          <w:bCs/>
          <w:sz w:val="22"/>
          <w:lang w:val="en-US" w:eastAsia="zh-CN"/>
        </w:rPr>
      </w:pPr>
      <w:r>
        <w:rPr>
          <w:rFonts w:ascii="Times New Roman" w:hAnsi="Times New Roman" w:cs="Times New Roman"/>
          <w:b/>
          <w:bCs/>
          <w:sz w:val="22"/>
          <w:lang w:eastAsia="zh-CN"/>
        </w:rPr>
        <w:t>3GPP TSG-RAN WG2 Meeting #</w:t>
      </w:r>
      <w:r>
        <w:rPr>
          <w:rFonts w:ascii="Times New Roman" w:hAnsi="Times New Roman" w:cs="Times New Roman"/>
          <w:b/>
          <w:bCs/>
          <w:sz w:val="22"/>
          <w:lang w:val="en-GB" w:eastAsia="zh-CN"/>
        </w:rPr>
        <w:t>131bis</w:t>
      </w:r>
      <w:r>
        <w:rPr>
          <w:rFonts w:ascii="Times New Roman" w:hAnsi="Times New Roman" w:cs="Times New Roman"/>
          <w:b/>
          <w:bCs/>
          <w:sz w:val="22"/>
          <w:lang w:eastAsia="zh-CN"/>
        </w:rPr>
        <w:tab/>
      </w:r>
      <w:r>
        <w:rPr>
          <w:rFonts w:ascii="Times New Roman" w:hAnsi="Times New Roman" w:cs="Times New Roman"/>
          <w:b/>
          <w:bCs/>
          <w:sz w:val="22"/>
          <w:lang w:eastAsia="zh-CN"/>
        </w:rPr>
        <w:tab/>
      </w:r>
      <w:r>
        <w:rPr>
          <w:rFonts w:hint="eastAsia" w:ascii="Times New Roman" w:hAnsi="Times New Roman" w:cs="Times New Roman"/>
          <w:b/>
          <w:bCs/>
          <w:sz w:val="22"/>
          <w:lang w:val="en-US" w:eastAsia="zh-CN"/>
        </w:rPr>
        <w:t xml:space="preserve">                                    </w:t>
      </w:r>
      <w:r>
        <w:rPr>
          <w:rFonts w:ascii="Times New Roman" w:hAnsi="Times New Roman" w:cs="Times New Roman"/>
          <w:b/>
          <w:bCs/>
          <w:sz w:val="22"/>
          <w:lang w:eastAsia="zh-CN"/>
        </w:rPr>
        <w:t>R2-250</w:t>
      </w:r>
      <w:r>
        <w:rPr>
          <w:rFonts w:hint="eastAsia" w:ascii="Times New Roman" w:hAnsi="Times New Roman" w:cs="Times New Roman"/>
          <w:b/>
          <w:bCs/>
          <w:sz w:val="22"/>
          <w:lang w:val="en-US" w:eastAsia="zh-CN"/>
        </w:rPr>
        <w:t>7393</w:t>
      </w:r>
    </w:p>
    <w:p w14:paraId="19AF0DB7">
      <w:pPr>
        <w:rPr>
          <w:rFonts w:ascii="Times New Roman" w:hAnsi="Times New Roman" w:cs="Times New Roman"/>
          <w:b/>
          <w:bCs/>
          <w:sz w:val="22"/>
          <w:lang w:eastAsia="zh-CN"/>
        </w:rPr>
      </w:pPr>
      <w:r>
        <w:rPr>
          <w:rFonts w:ascii="Times New Roman" w:hAnsi="Times New Roman" w:cs="Times New Roman"/>
          <w:b/>
          <w:bCs/>
          <w:sz w:val="22"/>
          <w:lang w:eastAsia="zh-CN"/>
        </w:rPr>
        <w:t>Prague</w:t>
      </w:r>
      <w:r>
        <w:rPr>
          <w:rFonts w:ascii="Times New Roman" w:hAnsi="Times New Roman" w:cs="Times New Roman"/>
          <w:b/>
          <w:bCs/>
          <w:sz w:val="22"/>
          <w:lang w:val="en-GB" w:eastAsia="zh-CN"/>
        </w:rPr>
        <w:t xml:space="preserve">, </w:t>
      </w:r>
      <w:bookmarkStart w:id="0" w:name="_Hlk174044642"/>
      <w:r>
        <w:rPr>
          <w:rFonts w:ascii="Times New Roman" w:hAnsi="Times New Roman" w:cs="Times New Roman"/>
          <w:b/>
          <w:bCs/>
          <w:sz w:val="22"/>
          <w:lang w:eastAsia="zh-CN"/>
        </w:rPr>
        <w:t>Czech Republic</w:t>
      </w:r>
      <w:r>
        <w:rPr>
          <w:rFonts w:ascii="Times New Roman" w:hAnsi="Times New Roman" w:cs="Times New Roman"/>
          <w:b/>
          <w:bCs/>
          <w:sz w:val="22"/>
          <w:lang w:val="en-GB" w:eastAsia="zh-CN"/>
        </w:rPr>
        <w:t>,</w:t>
      </w:r>
      <w:bookmarkEnd w:id="0"/>
      <w:r>
        <w:rPr>
          <w:rFonts w:ascii="Times New Roman" w:hAnsi="Times New Roman" w:cs="Times New Roman"/>
          <w:b/>
          <w:bCs/>
          <w:sz w:val="22"/>
          <w:lang w:val="en-GB" w:eastAsia="zh-CN"/>
        </w:rPr>
        <w:t xml:space="preserve"> 13th – </w:t>
      </w:r>
      <w:r>
        <w:rPr>
          <w:rFonts w:hint="eastAsia" w:ascii="Times New Roman" w:hAnsi="Times New Roman" w:cs="Times New Roman"/>
          <w:b/>
          <w:bCs/>
          <w:sz w:val="22"/>
          <w:lang w:val="en-GB" w:eastAsia="zh-CN"/>
        </w:rPr>
        <w:t>1</w:t>
      </w:r>
      <w:r>
        <w:rPr>
          <w:rFonts w:ascii="Times New Roman" w:hAnsi="Times New Roman" w:cs="Times New Roman"/>
          <w:b/>
          <w:bCs/>
          <w:sz w:val="22"/>
          <w:lang w:val="en-GB" w:eastAsia="zh-CN"/>
        </w:rPr>
        <w:t>7</w:t>
      </w:r>
      <w:r>
        <w:rPr>
          <w:rFonts w:hint="eastAsia" w:ascii="Times New Roman" w:hAnsi="Times New Roman" w:cs="Times New Roman"/>
          <w:b/>
          <w:bCs/>
          <w:sz w:val="22"/>
          <w:lang w:val="en-GB" w:eastAsia="zh-CN"/>
        </w:rPr>
        <w:t>t</w:t>
      </w:r>
      <w:r>
        <w:rPr>
          <w:rFonts w:ascii="Times New Roman" w:hAnsi="Times New Roman" w:cs="Times New Roman"/>
          <w:b/>
          <w:bCs/>
          <w:sz w:val="22"/>
          <w:lang w:val="en-GB" w:eastAsia="zh-CN"/>
        </w:rPr>
        <w:t xml:space="preserve">h </w:t>
      </w:r>
      <w:r>
        <w:rPr>
          <w:rFonts w:ascii="Times New Roman" w:hAnsi="Times New Roman" w:cs="Times New Roman"/>
          <w:b/>
          <w:bCs/>
          <w:sz w:val="22"/>
          <w:lang w:eastAsia="zh-CN"/>
        </w:rPr>
        <w:t>Oct</w:t>
      </w:r>
      <w:r>
        <w:rPr>
          <w:rFonts w:ascii="Times New Roman" w:hAnsi="Times New Roman" w:cs="Times New Roman"/>
          <w:b/>
          <w:bCs/>
          <w:sz w:val="22"/>
          <w:lang w:val="en-GB" w:eastAsia="zh-CN"/>
        </w:rPr>
        <w:t>. 202</w:t>
      </w:r>
      <w:r>
        <w:rPr>
          <w:rFonts w:hint="eastAsia" w:ascii="Times New Roman" w:hAnsi="Times New Roman" w:cs="Times New Roman"/>
          <w:b/>
          <w:bCs/>
          <w:sz w:val="22"/>
          <w:lang w:val="en-GB" w:eastAsia="zh-CN"/>
        </w:rPr>
        <w:t>5</w:t>
      </w:r>
    </w:p>
    <w:p w14:paraId="0050FAD7">
      <w:pPr>
        <w:rPr>
          <w:rFonts w:ascii="Times New Roman" w:hAnsi="Times New Roman" w:cs="Times New Roman"/>
          <w:b/>
          <w:bCs/>
          <w:sz w:val="22"/>
        </w:rPr>
      </w:pPr>
    </w:p>
    <w:p w14:paraId="66B8178B">
      <w:pPr>
        <w:keepNext w:val="0"/>
        <w:keepLines w:val="0"/>
        <w:pageBreakBefore w:val="0"/>
        <w:widowControl w:val="0"/>
        <w:kinsoku/>
        <w:wordWrap/>
        <w:overflowPunct/>
        <w:topLinePunct w:val="0"/>
        <w:autoSpaceDE/>
        <w:autoSpaceDN/>
        <w:bidi w:val="0"/>
        <w:adjustRightInd/>
        <w:snapToGrid/>
        <w:ind w:left="1984" w:hanging="1984"/>
        <w:textAlignment w:val="auto"/>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4CDFDA1B">
      <w:pPr>
        <w:keepNext w:val="0"/>
        <w:keepLines w:val="0"/>
        <w:pageBreakBefore w:val="0"/>
        <w:widowControl w:val="0"/>
        <w:kinsoku/>
        <w:wordWrap/>
        <w:overflowPunct/>
        <w:topLinePunct w:val="0"/>
        <w:autoSpaceDE/>
        <w:autoSpaceDN/>
        <w:bidi w:val="0"/>
        <w:adjustRightInd/>
        <w:snapToGrid/>
        <w:ind w:left="1984" w:hanging="1984"/>
        <w:textAlignment w:val="auto"/>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Initial considerations on RRC protocol architecture for 6GR</w:t>
      </w:r>
    </w:p>
    <w:p w14:paraId="000A571B">
      <w:pPr>
        <w:keepNext w:val="0"/>
        <w:keepLines w:val="0"/>
        <w:pageBreakBefore w:val="0"/>
        <w:widowControl w:val="0"/>
        <w:kinsoku/>
        <w:wordWrap/>
        <w:overflowPunct/>
        <w:topLinePunct w:val="0"/>
        <w:autoSpaceDE/>
        <w:autoSpaceDN/>
        <w:bidi w:val="0"/>
        <w:adjustRightInd/>
        <w:snapToGrid/>
        <w:ind w:left="1984" w:hanging="1984"/>
        <w:textAlignment w:val="auto"/>
        <w:rPr>
          <w:rFonts w:hint="eastAsia" w:ascii="Times New Roman" w:hAnsi="Times New Roman" w:cs="Times New Roman" w:eastAsiaTheme="minorEastAsia"/>
          <w:b/>
          <w:sz w:val="24"/>
          <w:szCs w:val="24"/>
          <w:lang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10</w:t>
      </w:r>
      <w:r>
        <w:rPr>
          <w:rFonts w:ascii="Times New Roman" w:hAnsi="Times New Roman" w:cs="Times New Roman"/>
          <w:b/>
          <w:sz w:val="24"/>
          <w:szCs w:val="24"/>
        </w:rPr>
        <w:t>.</w:t>
      </w:r>
      <w:r>
        <w:rPr>
          <w:rFonts w:hint="eastAsia" w:ascii="Times New Roman" w:hAnsi="Times New Roman" w:cs="Times New Roman"/>
          <w:b/>
          <w:sz w:val="24"/>
          <w:szCs w:val="24"/>
          <w:lang w:val="en-US" w:eastAsia="zh-CN"/>
        </w:rPr>
        <w:t>3</w:t>
      </w:r>
      <w:r>
        <w:rPr>
          <w:rFonts w:hint="eastAsia" w:ascii="Times New Roman" w:hAnsi="Times New Roman" w:cs="Times New Roman"/>
          <w:b/>
          <w:sz w:val="24"/>
          <w:szCs w:val="24"/>
        </w:rPr>
        <w:t>.</w:t>
      </w:r>
      <w:r>
        <w:rPr>
          <w:rFonts w:hint="eastAsia" w:ascii="Times New Roman" w:hAnsi="Times New Roman" w:cs="Times New Roman"/>
          <w:b/>
          <w:sz w:val="24"/>
          <w:szCs w:val="24"/>
          <w:lang w:val="en-US" w:eastAsia="zh-CN"/>
        </w:rPr>
        <w:t>2</w:t>
      </w:r>
    </w:p>
    <w:p w14:paraId="3BAEA0BF">
      <w:pPr>
        <w:keepNext w:val="0"/>
        <w:keepLines w:val="0"/>
        <w:pageBreakBefore w:val="0"/>
        <w:widowControl w:val="0"/>
        <w:kinsoku/>
        <w:wordWrap/>
        <w:overflowPunct/>
        <w:topLinePunct w:val="0"/>
        <w:autoSpaceDE/>
        <w:autoSpaceDN/>
        <w:bidi w:val="0"/>
        <w:adjustRightInd/>
        <w:snapToGrid/>
        <w:ind w:left="1984" w:hanging="1984"/>
        <w:textAlignment w:val="auto"/>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4095792C">
      <w:pPr>
        <w:pStyle w:val="2"/>
        <w:keepLines/>
        <w:numPr>
          <w:ilvl w:val="0"/>
          <w:numId w:val="3"/>
        </w:numPr>
        <w:pBdr>
          <w:top w:val="single" w:color="auto" w:sz="12" w:space="3"/>
        </w:pBdr>
        <w:tabs>
          <w:tab w:val="left" w:pos="420"/>
          <w:tab w:val="left" w:pos="63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szCs w:val="28"/>
          <w:lang w:val="en-US" w:eastAsia="zh-CN"/>
        </w:rPr>
        <w:t xml:space="preserve"> </w:t>
      </w:r>
      <w:r>
        <w:rPr>
          <w:rFonts w:ascii="Times New Roman" w:hAnsi="Times New Roman"/>
          <w:szCs w:val="28"/>
        </w:rPr>
        <w:t>Introduction</w:t>
      </w:r>
    </w:p>
    <w:p w14:paraId="4027C823">
      <w:pPr>
        <w:spacing w:before="120" w:beforeLines="50" w:after="120" w:afterLines="50" w:line="240" w:lineRule="auto"/>
        <w:rPr>
          <w:rFonts w:ascii="Times New Roman" w:hAnsi="Times New Roman" w:cs="Times New Roman"/>
          <w:lang w:eastAsia="zh-CN"/>
        </w:rPr>
      </w:pPr>
      <w:bookmarkStart w:id="1" w:name="_Toc54284460"/>
      <w:r>
        <w:rPr>
          <w:rFonts w:hint="default" w:ascii="Times New Roman" w:hAnsi="Times New Roman" w:cs="Times New Roman"/>
          <w:lang w:eastAsia="zh-CN"/>
        </w:rPr>
        <w:t>At the 3GPP RAN #10</w:t>
      </w:r>
      <w:r>
        <w:rPr>
          <w:rFonts w:hint="eastAsia" w:ascii="Times New Roman" w:hAnsi="Times New Roman" w:cs="Times New Roman"/>
          <w:lang w:val="en-US" w:eastAsia="zh-CN"/>
        </w:rPr>
        <w:t>9</w:t>
      </w:r>
      <w:r>
        <w:rPr>
          <w:rFonts w:hint="default" w:ascii="Times New Roman" w:hAnsi="Times New Roman" w:cs="Times New Roman"/>
          <w:lang w:eastAsia="zh-CN"/>
        </w:rPr>
        <w:t xml:space="preserve"> plenary, </w:t>
      </w:r>
      <w:r>
        <w:rPr>
          <w:rFonts w:hint="eastAsia" w:ascii="Times New Roman" w:hAnsi="Times New Roman" w:cs="Times New Roman"/>
          <w:lang w:val="en-US" w:eastAsia="zh-CN"/>
        </w:rPr>
        <w:t>the updated</w:t>
      </w:r>
      <w:r>
        <w:rPr>
          <w:rFonts w:hint="default" w:ascii="Times New Roman" w:hAnsi="Times New Roman" w:cs="Times New Roman"/>
          <w:lang w:eastAsia="zh-CN"/>
        </w:rPr>
        <w:t xml:space="preserve"> Study Item “Study on 6G Radio” was approved (SID in </w:t>
      </w:r>
      <w:r>
        <w:rPr>
          <w:rFonts w:hint="eastAsia" w:ascii="Times New Roman" w:hAnsi="Times New Roman" w:cs="Times New Roman"/>
        </w:rPr>
        <w:t>RP-252912</w:t>
      </w:r>
      <w:r>
        <w:rPr>
          <w:rFonts w:hint="eastAsia" w:ascii="Times New Roman" w:hAnsi="Times New Roman" w:cs="Times New Roman"/>
          <w:lang w:val="en-US" w:eastAsia="zh-CN"/>
        </w:rPr>
        <w:t xml:space="preserve"> [3]</w:t>
      </w:r>
      <w:r>
        <w:rPr>
          <w:rFonts w:hint="default" w:ascii="Times New Roman" w:hAnsi="Times New Roman" w:cs="Times New Roman"/>
          <w:lang w:eastAsia="zh-CN"/>
        </w:rPr>
        <w:t>). This study establishes high-level objectives for the 6G radio access network (RAN) architecture</w:t>
      </w:r>
      <w:r>
        <w:rPr>
          <w:rFonts w:hint="eastAsia" w:ascii="Times New Roman" w:hAnsi="Times New Roman" w:cs="Times New Roman"/>
          <w:lang w:val="en-US" w:eastAsia="zh-CN"/>
        </w:rPr>
        <w:t>. Following are part of them:</w:t>
      </w:r>
      <w:r>
        <w:rPr>
          <w:rFonts w:ascii="Times New Roman" w:hAnsi="Times New Roman" w:cs="Times New Roman"/>
          <w:lang w:eastAsia="zh-CN"/>
        </w:rPr>
        <w:t xml:space="preserve">  </w:t>
      </w:r>
    </w:p>
    <w:tbl>
      <w:tblPr>
        <w:tblStyle w:val="2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2"/>
      </w:tblGrid>
      <w:tr w14:paraId="184A5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2" w:type="dxa"/>
            <w:tcBorders>
              <w:top w:val="single" w:color="auto" w:sz="4" w:space="0"/>
              <w:left w:val="single" w:color="auto" w:sz="4" w:space="0"/>
              <w:bottom w:val="single" w:color="auto" w:sz="4" w:space="0"/>
              <w:right w:val="single" w:color="auto" w:sz="4" w:space="0"/>
            </w:tcBorders>
          </w:tcPr>
          <w:p w14:paraId="0EE255C8">
            <w:pPr>
              <w:numPr>
                <w:ilvl w:val="0"/>
                <w:numId w:val="4"/>
              </w:numPr>
              <w:overflowPunct w:val="0"/>
              <w:autoSpaceDE w:val="0"/>
              <w:autoSpaceDN w:val="0"/>
              <w:adjustRightInd w:val="0"/>
              <w:spacing w:after="120"/>
              <w:ind w:left="720" w:hanging="360"/>
              <w:contextualSpacing/>
              <w:textAlignment w:val="baseline"/>
              <w:rPr>
                <w:rFonts w:ascii="Times New Roman" w:hAnsi="Times New Roman" w:eastAsia="ＭＳ 明朝" w:cs="Times New Roman"/>
                <w:color w:val="000000"/>
                <w:lang w:val="en-GB" w:eastAsia="en-GB" w:bidi="ar-SA"/>
              </w:rPr>
            </w:pPr>
            <w:r>
              <w:rPr>
                <w:rFonts w:ascii="Times New Roman" w:hAnsi="Times New Roman" w:eastAsia="ＭＳ 明朝" w:cs="Times New Roman"/>
                <w:color w:val="000000"/>
                <w:lang w:val="en-GB" w:eastAsia="en-GB" w:bidi="ar-SA"/>
              </w:rPr>
              <w:t>Single technology framework based on a stand-alone architecture</w:t>
            </w:r>
            <w:r>
              <w:rPr>
                <w:rFonts w:hint="eastAsia" w:ascii="Times New Roman" w:hAnsi="Times New Roman" w:eastAsia="ＭＳ 明朝" w:cs="Times New Roman"/>
                <w:color w:val="000000"/>
                <w:lang w:val="en-GB" w:eastAsia="ja-JP" w:bidi="ar-SA"/>
              </w:rPr>
              <w:t xml:space="preserve"> (Note1)</w:t>
            </w:r>
            <w:r>
              <w:rPr>
                <w:rFonts w:ascii="Times New Roman" w:hAnsi="Times New Roman" w:eastAsia="ＭＳ 明朝" w:cs="Times New Roman"/>
                <w:color w:val="000000"/>
                <w:lang w:val="en-GB" w:eastAsia="en-GB" w:bidi="ar-SA"/>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DF09A7E">
            <w:pPr>
              <w:numPr>
                <w:ilvl w:val="1"/>
                <w:numId w:val="0"/>
              </w:numPr>
              <w:overflowPunct w:val="0"/>
              <w:autoSpaceDE w:val="0"/>
              <w:autoSpaceDN w:val="0"/>
              <w:adjustRightInd w:val="0"/>
              <w:spacing w:after="120"/>
              <w:ind w:left="1440" w:leftChars="0" w:hanging="360" w:firstLineChars="0"/>
              <w:contextualSpacing/>
              <w:textAlignment w:val="baseline"/>
              <w:rPr>
                <w:rFonts w:ascii="Times New Roman" w:hAnsi="Times New Roman" w:eastAsia="ＭＳ 明朝" w:cs="Times New Roman"/>
                <w:color w:val="000000"/>
                <w:lang w:val="en-GB" w:eastAsia="en-GB" w:bidi="ar-SA"/>
              </w:rPr>
            </w:pPr>
            <w:r>
              <w:rPr>
                <w:rFonts w:hint="eastAsia" w:ascii="Times New Roman" w:hAnsi="Times New Roman" w:eastAsia="宋体" w:cs="Times New Roman"/>
                <w:color w:val="000000"/>
                <w:lang w:val="en-US" w:eastAsia="zh-CN" w:bidi="ar-SA"/>
              </w:rPr>
              <w:t>..</w:t>
            </w:r>
            <w:r>
              <w:rPr>
                <w:rFonts w:ascii="Times New Roman" w:hAnsi="Times New Roman" w:eastAsia="ＭＳ 明朝" w:cs="Times New Roman"/>
                <w:color w:val="000000"/>
                <w:lang w:val="en-GB" w:eastAsia="en-GB" w:bidi="ar-SA"/>
              </w:rPr>
              <w:t xml:space="preserve">. </w:t>
            </w:r>
          </w:p>
          <w:p w14:paraId="52491841">
            <w:pPr>
              <w:numPr>
                <w:ilvl w:val="1"/>
                <w:numId w:val="0"/>
              </w:numPr>
              <w:overflowPunct w:val="0"/>
              <w:autoSpaceDE w:val="0"/>
              <w:autoSpaceDN w:val="0"/>
              <w:adjustRightInd w:val="0"/>
              <w:spacing w:after="120"/>
              <w:ind w:left="1440" w:leftChars="0" w:hanging="360" w:firstLineChars="0"/>
              <w:contextualSpacing/>
              <w:textAlignment w:val="baseline"/>
              <w:rPr>
                <w:rFonts w:ascii="Times New Roman" w:hAnsi="Times New Roman" w:eastAsia="ＭＳ 明朝" w:cs="Times New Roman"/>
                <w:color w:val="000000"/>
                <w:lang w:val="en-GB" w:eastAsia="en-GB" w:bidi="ar-SA"/>
              </w:rPr>
            </w:pPr>
            <w:r>
              <w:rPr>
                <w:rFonts w:hint="eastAsia" w:ascii="Times New Roman" w:hAnsi="Times New Roman" w:eastAsia="ＭＳ 明朝" w:cs="Times New Roman"/>
                <w:color w:val="000000"/>
                <w:lang w:val="en-US" w:eastAsia="zh-CN" w:bidi="ar-SA"/>
              </w:rPr>
              <w:t>j</w:t>
            </w:r>
            <w:r>
              <w:rPr>
                <w:rFonts w:ascii="Times New Roman" w:hAnsi="Times New Roman" w:eastAsia="ＭＳ 明朝" w:cs="Times New Roman"/>
                <w:color w:val="000000"/>
                <w:lang w:val="en-US" w:eastAsia="en-US" w:bidi="ar-SA"/>
              </w:rPr>
              <w:t>)</w:t>
            </w:r>
            <w:r>
              <w:rPr>
                <w:rFonts w:ascii="Times New Roman" w:hAnsi="Times New Roman" w:eastAsia="ＭＳ 明朝" w:cs="Times New Roman"/>
                <w:color w:val="000000"/>
                <w:lang w:val="en-GB" w:eastAsia="en-GB" w:bidi="ar-SA"/>
              </w:rPr>
              <w:t xml:space="preserve">Aim at a </w:t>
            </w:r>
            <w:r>
              <w:rPr>
                <w:rFonts w:ascii="Times New Roman" w:hAnsi="Times New Roman" w:eastAsia="ＭＳ 明朝" w:cs="Times New Roman"/>
                <w:b/>
                <w:bCs/>
                <w:color w:val="000000"/>
                <w:highlight w:val="yellow"/>
                <w:lang w:val="en-GB" w:eastAsia="en-GB" w:bidi="ar-SA"/>
              </w:rPr>
              <w:t>harmonized 6G Radio design for TN and NTN</w:t>
            </w:r>
            <w:r>
              <w:rPr>
                <w:rFonts w:ascii="Times New Roman" w:hAnsi="Times New Roman" w:eastAsia="ＭＳ 明朝" w:cs="Times New Roman"/>
                <w:color w:val="000000"/>
                <w:lang w:val="en-GB" w:eastAsia="en-GB" w:bidi="ar-SA"/>
              </w:rPr>
              <w:t>, including their integration.</w:t>
            </w:r>
          </w:p>
          <w:p w14:paraId="3EC0E578">
            <w:pPr>
              <w:numPr>
                <w:ilvl w:val="1"/>
                <w:numId w:val="0"/>
              </w:numPr>
              <w:overflowPunct w:val="0"/>
              <w:autoSpaceDE w:val="0"/>
              <w:autoSpaceDN w:val="0"/>
              <w:adjustRightInd w:val="0"/>
              <w:spacing w:after="120"/>
              <w:ind w:left="1440" w:leftChars="0" w:hanging="360" w:firstLineChars="0"/>
              <w:contextualSpacing/>
              <w:textAlignment w:val="baseline"/>
              <w:rPr>
                <w:rFonts w:ascii="Times New Roman" w:hAnsi="Times New Roman" w:eastAsia="ＭＳ 明朝" w:cs="Times New Roman"/>
                <w:color w:val="000000"/>
                <w:lang w:val="en-GB" w:eastAsia="en-GB" w:bidi="ar-SA"/>
              </w:rPr>
            </w:pPr>
            <w:r>
              <w:rPr>
                <w:rFonts w:ascii="Times New Roman" w:hAnsi="Times New Roman" w:eastAsia="ＭＳ 明朝" w:cs="Times New Roman"/>
                <w:color w:val="000000"/>
                <w:lang w:val="en-GB" w:eastAsia="en-GB" w:bidi="ar-SA"/>
              </w:rPr>
              <w:t xml:space="preserve">k)System simplification, including reducing configuration complexity, enabling </w:t>
            </w:r>
            <w:r>
              <w:rPr>
                <w:rFonts w:ascii="Times New Roman" w:hAnsi="Times New Roman" w:eastAsia="ＭＳ 明朝" w:cs="Times New Roman"/>
                <w:b/>
                <w:bCs/>
                <w:color w:val="000000"/>
                <w:highlight w:val="yellow"/>
                <w:lang w:val="en-GB" w:eastAsia="en-GB" w:bidi="ar-SA"/>
              </w:rPr>
              <w:t>more efficient Cell</w:t>
            </w:r>
            <w:r>
              <w:rPr>
                <w:rFonts w:ascii="Times New Roman" w:hAnsi="Times New Roman" w:eastAsia="ＭＳ 明朝" w:cs="Times New Roman"/>
                <w:color w:val="000000"/>
                <w:highlight w:val="none"/>
                <w:lang w:val="en-GB" w:eastAsia="en-GB" w:bidi="ar-SA"/>
              </w:rPr>
              <w:t xml:space="preserve">/UE </w:t>
            </w:r>
            <w:r>
              <w:rPr>
                <w:rFonts w:ascii="Times New Roman" w:hAnsi="Times New Roman" w:eastAsia="ＭＳ 明朝" w:cs="Times New Roman"/>
                <w:b/>
                <w:bCs/>
                <w:color w:val="000000"/>
                <w:highlight w:val="yellow"/>
                <w:lang w:val="en-GB" w:eastAsia="en-GB" w:bidi="ar-SA"/>
              </w:rPr>
              <w:t>management</w:t>
            </w:r>
            <w:r>
              <w:rPr>
                <w:rFonts w:ascii="Times New Roman" w:hAnsi="Times New Roman" w:eastAsia="ＭＳ 明朝" w:cs="Times New Roman"/>
                <w:color w:val="000000"/>
                <w:lang w:val="en-GB" w:eastAsia="en-GB" w:bidi="ar-SA"/>
              </w:rPr>
              <w:t>, etc.</w:t>
            </w:r>
          </w:p>
          <w:p w14:paraId="023981CE">
            <w:pPr>
              <w:numPr>
                <w:ilvl w:val="0"/>
                <w:numId w:val="0"/>
              </w:numPr>
              <w:overflowPunct w:val="0"/>
              <w:autoSpaceDE w:val="0"/>
              <w:autoSpaceDN w:val="0"/>
              <w:adjustRightInd w:val="0"/>
              <w:spacing w:after="120"/>
              <w:ind w:left="1080" w:leftChars="0"/>
              <w:contextualSpacing/>
              <w:textAlignment w:val="baseline"/>
              <w:rPr>
                <w:rFonts w:ascii="Times New Roman" w:hAnsi="Times New Roman" w:eastAsia="ＭＳ 明朝" w:cs="Times New Roman"/>
                <w:color w:val="000000"/>
                <w:lang w:val="en-GB" w:eastAsia="en-GB" w:bidi="ar-SA"/>
              </w:rPr>
            </w:pPr>
          </w:p>
          <w:p w14:paraId="2204F290">
            <w:pPr>
              <w:numPr>
                <w:ilvl w:val="0"/>
                <w:numId w:val="5"/>
              </w:numPr>
              <w:overflowPunct w:val="0"/>
              <w:autoSpaceDE w:val="0"/>
              <w:autoSpaceDN w:val="0"/>
              <w:adjustRightInd w:val="0"/>
              <w:spacing w:after="120"/>
              <w:ind w:left="720" w:leftChars="0" w:hanging="360" w:firstLineChars="0"/>
              <w:contextualSpacing/>
              <w:textAlignment w:val="baseline"/>
              <w:rPr>
                <w:rFonts w:ascii="Times New Roman" w:hAnsi="Times New Roman" w:eastAsia="ＭＳ 明朝" w:cs="Times New Roman"/>
                <w:color w:val="000000"/>
                <w:lang w:val="en-GB" w:eastAsia="en-GB" w:bidi="ar-SA"/>
              </w:rPr>
            </w:pPr>
            <w:r>
              <w:rPr>
                <w:rFonts w:ascii="Times New Roman" w:hAnsi="Times New Roman" w:eastAsia="ＭＳ 明朝" w:cs="Times New Roman"/>
                <w:color w:val="000000"/>
                <w:lang w:val="en-GB" w:eastAsia="en-GB" w:bidi="ar-SA"/>
              </w:rPr>
              <w:t>Radio interface protocol architecture and procedures for 6GR [RAN2, RAN1, RAN4, RAN3]</w:t>
            </w:r>
          </w:p>
          <w:p w14:paraId="2641FDBE">
            <w:pPr>
              <w:numPr>
                <w:ilvl w:val="0"/>
                <w:numId w:val="0"/>
              </w:numPr>
              <w:overflowPunct w:val="0"/>
              <w:autoSpaceDE w:val="0"/>
              <w:autoSpaceDN w:val="0"/>
              <w:adjustRightInd w:val="0"/>
              <w:spacing w:after="120"/>
              <w:ind w:left="1440" w:leftChars="0" w:hanging="360" w:firstLineChars="0"/>
              <w:contextualSpacing/>
              <w:textAlignment w:val="baseline"/>
              <w:rPr>
                <w:rFonts w:hint="default" w:ascii="Times New Roman" w:hAnsi="Times New Roman" w:eastAsia="宋体" w:cs="Times New Roman"/>
                <w:color w:val="000000"/>
                <w:lang w:val="en-US" w:eastAsia="zh-CN" w:bidi="ar-SA"/>
              </w:rPr>
            </w:pPr>
            <w:r>
              <w:rPr>
                <w:rFonts w:hint="eastAsia" w:ascii="Times New Roman" w:hAnsi="Times New Roman" w:eastAsia="宋体" w:cs="Times New Roman"/>
                <w:color w:val="000000"/>
                <w:lang w:val="en-US" w:eastAsia="zh-CN" w:bidi="ar-SA"/>
              </w:rPr>
              <w:t>...</w:t>
            </w:r>
          </w:p>
          <w:p w14:paraId="5579C43F">
            <w:pPr>
              <w:numPr>
                <w:ilvl w:val="0"/>
                <w:numId w:val="0"/>
              </w:numPr>
              <w:overflowPunct w:val="0"/>
              <w:autoSpaceDE w:val="0"/>
              <w:autoSpaceDN w:val="0"/>
              <w:adjustRightInd w:val="0"/>
              <w:spacing w:after="120"/>
              <w:ind w:left="1440" w:leftChars="0" w:hanging="360" w:firstLineChars="0"/>
              <w:contextualSpacing/>
              <w:textAlignment w:val="baseline"/>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b)</w:t>
            </w:r>
            <w:r>
              <w:rPr>
                <w:rFonts w:ascii="Times New Roman" w:hAnsi="Times New Roman" w:eastAsia="ＭＳ 明朝" w:cs="Times New Roman"/>
                <w:color w:val="000000"/>
                <w:lang w:val="en-GB" w:eastAsia="en-GB" w:bidi="ar-SA"/>
              </w:rPr>
              <w:t xml:space="preserve">Control Plane architecture (including </w:t>
            </w:r>
            <w:r>
              <w:rPr>
                <w:rFonts w:ascii="Times New Roman" w:hAnsi="Times New Roman" w:eastAsia="ＭＳ 明朝" w:cs="Times New Roman"/>
                <w:b/>
                <w:bCs/>
                <w:color w:val="000000"/>
                <w:highlight w:val="yellow"/>
                <w:lang w:val="en-GB" w:eastAsia="en-GB" w:bidi="ar-SA"/>
              </w:rPr>
              <w:t>RRC states</w:t>
            </w:r>
            <w:r>
              <w:rPr>
                <w:rFonts w:ascii="Times New Roman" w:hAnsi="Times New Roman" w:eastAsia="ＭＳ 明朝" w:cs="Times New Roman"/>
                <w:color w:val="000000"/>
                <w:lang w:val="en-GB" w:eastAsia="en-GB" w:bidi="ar-SA"/>
              </w:rPr>
              <w:t>) and protocol design [RAN2, RAN3]</w:t>
            </w:r>
          </w:p>
          <w:p w14:paraId="702CCA89">
            <w:pPr>
              <w:numPr>
                <w:ilvl w:val="0"/>
                <w:numId w:val="0"/>
              </w:numPr>
              <w:overflowPunct w:val="0"/>
              <w:autoSpaceDE w:val="0"/>
              <w:autoSpaceDN w:val="0"/>
              <w:adjustRightInd w:val="0"/>
              <w:spacing w:after="120"/>
              <w:ind w:left="1080" w:leftChars="0"/>
              <w:contextualSpacing/>
              <w:textAlignment w:val="baseline"/>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w:t>
            </w:r>
          </w:p>
        </w:tc>
      </w:tr>
    </w:tbl>
    <w:p w14:paraId="21B9930D">
      <w:pPr>
        <w:spacing w:before="120" w:beforeLines="50" w:after="120" w:afterLines="50" w:line="240" w:lineRule="auto"/>
        <w:rPr>
          <w:rFonts w:hint="default" w:ascii="Times New Roman" w:hAnsi="Times New Roman" w:cs="Times New Roman"/>
          <w:lang w:val="en-US" w:eastAsia="zh-CN"/>
        </w:rPr>
      </w:pPr>
      <w:r>
        <w:rPr>
          <w:rFonts w:hint="eastAsia" w:ascii="Times New Roman" w:hAnsi="Times New Roman" w:cs="Times New Roman"/>
          <w:lang w:val="en-US" w:eastAsia="zh-CN"/>
        </w:rPr>
        <w:t xml:space="preserve">In this contribution, we discussed RRC state, Cell management and the </w:t>
      </w:r>
      <w:r>
        <w:rPr>
          <w:rFonts w:hint="default" w:ascii="Times New Roman" w:hAnsi="Times New Roman" w:cs="Times New Roman"/>
          <w:lang w:val="en-GB" w:eastAsia="en-GB"/>
        </w:rPr>
        <w:t>harmonized 6G Radio design for TN and NTN</w:t>
      </w:r>
      <w:r>
        <w:rPr>
          <w:rFonts w:hint="eastAsia" w:ascii="Times New Roman" w:hAnsi="Times New Roman" w:cs="Times New Roman"/>
          <w:lang w:val="en-US" w:eastAsia="zh-CN"/>
        </w:rPr>
        <w:t xml:space="preserve"> and gave initial considerations on those aspect of RRC protocol architecture for 6GR.</w:t>
      </w:r>
    </w:p>
    <w:bookmarkEnd w:id="1"/>
    <w:p w14:paraId="4E3EA5F4">
      <w:pPr>
        <w:pStyle w:val="2"/>
        <w:keepLines/>
        <w:numPr>
          <w:ilvl w:val="0"/>
          <w:numId w:val="3"/>
        </w:numPr>
        <w:pBdr>
          <w:top w:val="single" w:color="auto" w:sz="12" w:space="3"/>
        </w:pBdr>
        <w:tabs>
          <w:tab w:val="left" w:pos="42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Discussion</w:t>
      </w:r>
    </w:p>
    <w:p w14:paraId="189FA960">
      <w:pPr>
        <w:pStyle w:val="3"/>
        <w:numPr>
          <w:ilvl w:val="1"/>
          <w:numId w:val="6"/>
        </w:numPr>
        <w:tabs>
          <w:tab w:val="left" w:pos="420"/>
          <w:tab w:val="clear" w:pos="756"/>
        </w:tabs>
        <w:spacing w:before="180" w:after="120" w:line="240" w:lineRule="auto"/>
        <w:ind w:left="424" w:hanging="424"/>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RRC States</w:t>
      </w:r>
    </w:p>
    <w:p w14:paraId="5D4551FD">
      <w:pPr>
        <w:spacing w:before="120" w:beforeLines="50" w:after="120" w:afterLines="50" w:line="240" w:lineRule="auto"/>
        <w:rPr>
          <w:rFonts w:hint="default" w:ascii="Times New Roman" w:hAnsi="Times New Roman" w:cs="Times New Roman"/>
          <w:lang w:val="en-US" w:eastAsia="zh-CN"/>
        </w:rPr>
      </w:pPr>
      <w:r>
        <w:rPr>
          <w:rFonts w:hint="default" w:ascii="Times New Roman" w:hAnsi="Times New Roman" w:cs="Times New Roman"/>
          <w:lang w:val="en-US" w:eastAsia="zh-CN"/>
        </w:rPr>
        <w:t>5G NR introduced a three-state RRC model – RRC_IDLE, RRC_CONNECTED, and the newer RRC_INACTIVE state – to balance latency, signaling and power consumption. While this was a step forward, several limitations have been observed in practice:</w:t>
      </w:r>
    </w:p>
    <w:p w14:paraId="2671EDED">
      <w:pPr>
        <w:spacing w:before="120" w:beforeLines="50" w:after="120" w:afterLines="50" w:line="240" w:lineRule="auto"/>
        <w:rPr>
          <w:rFonts w:hint="default" w:ascii="Times New Roman" w:hAnsi="Times New Roman" w:cs="Times New Roman"/>
        </w:rPr>
      </w:pPr>
      <w:r>
        <w:rPr>
          <w:rFonts w:hint="default" w:ascii="Times New Roman" w:hAnsi="Times New Roman" w:cs="Times New Roman"/>
          <w:b/>
          <w:bCs/>
        </w:rPr>
        <w:t>Signaling Overhead:</w:t>
      </w:r>
      <w:r>
        <w:rPr>
          <w:rFonts w:hint="default" w:ascii="Times New Roman" w:hAnsi="Times New Roman" w:cs="Times New Roman"/>
        </w:rPr>
        <w:t xml:space="preserve"> </w:t>
      </w:r>
      <w:r>
        <w:rPr>
          <w:rFonts w:hint="eastAsia" w:ascii="Times New Roman" w:hAnsi="Times New Roman" w:cs="Times New Roman"/>
          <w:lang w:val="en-US" w:eastAsia="zh-CN"/>
        </w:rPr>
        <w:t>To reduce the UE</w:t>
      </w:r>
      <w:r>
        <w:rPr>
          <w:rFonts w:hint="default" w:ascii="Times New Roman" w:hAnsi="Times New Roman" w:cs="Times New Roman"/>
          <w:lang w:val="en-US" w:eastAsia="zh-CN"/>
        </w:rPr>
        <w:t>’</w:t>
      </w:r>
      <w:r>
        <w:rPr>
          <w:rFonts w:hint="eastAsia" w:ascii="Times New Roman" w:hAnsi="Times New Roman" w:cs="Times New Roman"/>
          <w:lang w:val="en-US" w:eastAsia="zh-CN"/>
        </w:rPr>
        <w:t>s power consumption, there would be f</w:t>
      </w:r>
      <w:r>
        <w:rPr>
          <w:rFonts w:hint="default" w:ascii="Times New Roman" w:hAnsi="Times New Roman" w:cs="Times New Roman"/>
        </w:rPr>
        <w:t xml:space="preserve">requent transitions between </w:t>
      </w:r>
      <w:r>
        <w:rPr>
          <w:rFonts w:hint="eastAsia" w:ascii="Times New Roman" w:hAnsi="Times New Roman" w:cs="Times New Roman"/>
          <w:lang w:val="en-US" w:eastAsia="zh-CN"/>
        </w:rPr>
        <w:t>RRC_CONNECTED and RRC_IDLE/RRC_INACTIVE which</w:t>
      </w:r>
      <w:r>
        <w:rPr>
          <w:rFonts w:hint="default" w:ascii="Times New Roman" w:hAnsi="Times New Roman" w:cs="Times New Roman"/>
        </w:rPr>
        <w:t xml:space="preserve"> can incur significant signaling. UEs in RRC_IDLE must perform a full connection establishment (RRC connection setup) to send or receive data, which involves multiple message exchanges. Even with RRC_INACTIVE, resuming to RRC_CONNECTED requires a resume procedure. These state transitions for sporadic or small data transmissions add control-plane overhead on both UE and network side.</w:t>
      </w:r>
    </w:p>
    <w:p w14:paraId="09405D8E">
      <w:pPr>
        <w:spacing w:before="120" w:beforeLines="50" w:after="120" w:afterLines="50" w:line="240" w:lineRule="auto"/>
        <w:rPr>
          <w:rFonts w:hint="eastAsia" w:ascii="Times New Roman" w:hAnsi="Times New Roman" w:cs="Times New Roman"/>
          <w:lang w:val="en-US" w:eastAsia="zh-CN"/>
        </w:rPr>
      </w:pPr>
      <w:r>
        <w:rPr>
          <w:rFonts w:hint="default" w:ascii="Times New Roman" w:hAnsi="Times New Roman" w:cs="Times New Roman"/>
          <w:b/>
          <w:bCs/>
        </w:rPr>
        <w:t>Multi-level paging</w:t>
      </w:r>
      <w:r>
        <w:rPr>
          <w:rFonts w:hint="eastAsia" w:ascii="Times New Roman" w:hAnsi="Times New Roman" w:cs="Times New Roman"/>
          <w:b/>
          <w:bCs/>
          <w:lang w:val="en-US" w:eastAsia="zh-CN"/>
        </w:rPr>
        <w:t xml:space="preserve"> in RRC_INACTIVE: </w:t>
      </w:r>
      <w:r>
        <w:rPr>
          <w:rFonts w:hint="default" w:ascii="Times New Roman" w:hAnsi="Times New Roman" w:cs="Times New Roman"/>
        </w:rPr>
        <w:t xml:space="preserve">There are two levels of paging triggers </w:t>
      </w:r>
      <w:r>
        <w:rPr>
          <w:rFonts w:hint="eastAsia" w:ascii="Times New Roman" w:hAnsi="Times New Roman" w:cs="Times New Roman"/>
          <w:lang w:val="en-US" w:eastAsia="zh-CN"/>
        </w:rPr>
        <w:t xml:space="preserve">for UEs in RRC_INACTIVE </w:t>
      </w:r>
      <w:r>
        <w:rPr>
          <w:rFonts w:hint="default" w:ascii="Times New Roman" w:hAnsi="Times New Roman" w:cs="Times New Roman"/>
        </w:rPr>
        <w:t>in 5G NR: RAN-initiated paging performed by the NG-RAN (gNB) and core network-initiated paging by the 5GC.</w:t>
      </w:r>
      <w:r>
        <w:rPr>
          <w:rFonts w:hint="eastAsia" w:ascii="Times New Roman" w:hAnsi="Times New Roman" w:cs="Times New Roman"/>
          <w:lang w:val="en-US" w:eastAsia="zh-CN"/>
        </w:rPr>
        <w:t xml:space="preserve"> The mechanism of two-level of paging </w:t>
      </w:r>
      <w:r>
        <w:rPr>
          <w:rFonts w:hint="default" w:ascii="Times New Roman" w:hAnsi="Times New Roman" w:cs="Times New Roman"/>
        </w:rPr>
        <w:t>could increase UE complexity and power overhead if not managed well</w:t>
      </w:r>
      <w:r>
        <w:rPr>
          <w:rFonts w:hint="eastAsia" w:ascii="Times New Roman" w:hAnsi="Times New Roman" w:cs="Times New Roman"/>
          <w:lang w:val="en-US" w:eastAsia="zh-CN"/>
        </w:rPr>
        <w:t>.</w:t>
      </w:r>
    </w:p>
    <w:p w14:paraId="72A2E093">
      <w:pPr>
        <w:spacing w:before="120" w:beforeLines="50" w:after="120" w:afterLines="50" w:line="240" w:lineRule="auto"/>
        <w:rPr>
          <w:rFonts w:hint="default" w:ascii="Times New Roman" w:hAnsi="Times New Roman" w:cs="Times New Roman"/>
          <w:lang w:val="en-US" w:eastAsia="zh-CN"/>
        </w:rPr>
      </w:pPr>
      <w:r>
        <w:rPr>
          <w:rFonts w:hint="eastAsia" w:ascii="Times New Roman" w:hAnsi="Times New Roman" w:cs="Times New Roman"/>
          <w:b/>
          <w:bCs/>
          <w:lang w:val="en-US" w:eastAsia="zh-CN"/>
        </w:rPr>
        <w:t>L</w:t>
      </w:r>
      <w:r>
        <w:rPr>
          <w:rFonts w:hint="default" w:ascii="Times New Roman" w:hAnsi="Times New Roman" w:cs="Times New Roman"/>
          <w:b/>
          <w:bCs/>
        </w:rPr>
        <w:t>imited commercial adoption</w:t>
      </w:r>
      <w:r>
        <w:rPr>
          <w:rFonts w:hint="eastAsia" w:ascii="Times New Roman" w:hAnsi="Times New Roman" w:cs="Times New Roman"/>
          <w:b/>
          <w:bCs/>
          <w:lang w:val="en-US" w:eastAsia="zh-CN"/>
        </w:rPr>
        <w:t xml:space="preserve"> for RRC_INACTIVE: </w:t>
      </w:r>
      <w:r>
        <w:rPr>
          <w:rFonts w:hint="default" w:ascii="Times New Roman" w:hAnsi="Times New Roman" w:cs="Times New Roman"/>
        </w:rPr>
        <w:t xml:space="preserve">RRC_INACTIVE state has seen limited commercial adoption. Contributing factors include implementation complexity for vendors, inconsistent UE support (the state is only applicable in 5G Standalone mode and must be indicated in UE capabilities), and the marginal gains observed in some real-world scenarios versus the costs. </w:t>
      </w:r>
      <w:r>
        <w:rPr>
          <w:rFonts w:hint="eastAsia" w:ascii="Times New Roman" w:hAnsi="Times New Roman" w:cs="Times New Roman"/>
          <w:lang w:val="en-US" w:eastAsia="zh-CN"/>
        </w:rPr>
        <w:t>During the discussion about the lesson from 5G, the principle to</w:t>
      </w:r>
      <w:r>
        <w:rPr>
          <w:rFonts w:hint="default" w:ascii="Times New Roman" w:hAnsi="Times New Roman" w:cs="Times New Roman"/>
        </w:rPr>
        <w:t xml:space="preserve"> simplify the 6G RAN by removing under-utilized options </w:t>
      </w:r>
      <w:r>
        <w:rPr>
          <w:rFonts w:hint="eastAsia" w:ascii="Times New Roman" w:hAnsi="Times New Roman" w:cs="Times New Roman"/>
          <w:lang w:val="en-US" w:eastAsia="zh-CN"/>
        </w:rPr>
        <w:t>has been accepted widely.</w:t>
      </w:r>
    </w:p>
    <w:p w14:paraId="4DA2FF08">
      <w:pPr>
        <w:spacing w:before="120" w:beforeLines="50"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 xml:space="preserve">Observation 1: For the </w:t>
      </w:r>
      <w:r>
        <w:rPr>
          <w:rFonts w:hint="default" w:ascii="Times New Roman" w:hAnsi="Times New Roman" w:cs="Times New Roman"/>
          <w:b/>
          <w:bCs/>
          <w:i/>
          <w:iCs/>
          <w:szCs w:val="21"/>
          <w:lang w:val="en-US" w:eastAsia="zh-CN"/>
        </w:rPr>
        <w:t>three-state RRC model</w:t>
      </w:r>
      <w:r>
        <w:rPr>
          <w:rFonts w:hint="eastAsia" w:ascii="Times New Roman" w:hAnsi="Times New Roman" w:cs="Times New Roman"/>
          <w:b/>
          <w:bCs/>
          <w:i/>
          <w:iCs/>
          <w:szCs w:val="21"/>
          <w:lang w:val="en-US" w:eastAsia="zh-CN"/>
        </w:rPr>
        <w:t xml:space="preserve"> in 5G, there are limitations on significant signaling overhead due to frequent state transition, m</w:t>
      </w:r>
      <w:r>
        <w:rPr>
          <w:rFonts w:hint="default" w:ascii="Times New Roman" w:hAnsi="Times New Roman" w:cs="Times New Roman"/>
          <w:b/>
          <w:bCs/>
          <w:i/>
          <w:iCs/>
          <w:szCs w:val="21"/>
          <w:lang w:val="en-US" w:eastAsia="zh-CN"/>
        </w:rPr>
        <w:t>ulti-level paging</w:t>
      </w:r>
      <w:r>
        <w:rPr>
          <w:rFonts w:hint="eastAsia" w:ascii="Times New Roman" w:hAnsi="Times New Roman" w:cs="Times New Roman"/>
          <w:b/>
          <w:bCs/>
          <w:i/>
          <w:iCs/>
          <w:szCs w:val="21"/>
          <w:lang w:val="en-US" w:eastAsia="zh-CN"/>
        </w:rPr>
        <w:t xml:space="preserve"> in RRC_INACTIVE and limited commercial adoption for RRC_INACTIVE.</w:t>
      </w:r>
    </w:p>
    <w:p w14:paraId="31308E15">
      <w:pPr>
        <w:spacing w:before="120" w:beforeLines="50" w:after="120" w:afterLines="50" w:line="240" w:lineRule="auto"/>
        <w:rPr>
          <w:rFonts w:hint="default" w:ascii="Times New Roman" w:hAnsi="Times New Roman" w:cs="Times New Roman"/>
          <w:lang w:val="en-US" w:eastAsia="zh-CN"/>
        </w:rPr>
      </w:pPr>
      <w:r>
        <w:rPr>
          <w:rFonts w:hint="eastAsia" w:ascii="Times New Roman" w:hAnsi="Times New Roman" w:cs="Times New Roman"/>
          <w:lang w:val="en-US" w:eastAsia="zh-CN"/>
        </w:rPr>
        <w:t xml:space="preserve">Moreover, </w:t>
      </w:r>
      <w:r>
        <w:rPr>
          <w:rFonts w:hint="default" w:ascii="Times New Roman" w:hAnsi="Times New Roman" w:cs="Times New Roman"/>
          <w:lang w:val="en-US" w:eastAsia="zh-CN"/>
        </w:rPr>
        <w:t>RRC_INACTIVE may be unsuitable for certain UE and service categories—for example, IoT devices with infrequent, small</w:t>
      </w:r>
      <w:r>
        <w:rPr>
          <w:rFonts w:hint="default" w:ascii="Times New Roman" w:hAnsi="Times New Roman" w:cs="Times New Roman"/>
          <w:lang w:val="en-US" w:eastAsia="zh-CN"/>
        </w:rPr>
        <w:noBreakHyphen/>
      </w:r>
      <w:r>
        <w:rPr>
          <w:rFonts w:hint="default" w:ascii="Times New Roman" w:hAnsi="Times New Roman" w:cs="Times New Roman"/>
          <w:lang w:val="en-US" w:eastAsia="zh-CN"/>
        </w:rPr>
        <w:t>payload transmissions, and URLLC services with stringent latency constraints. Considering the broader diversity of services and device types expected in 6G, it is proposed that 6GR study a simplified, flexible RRC state model aligned with modular, on</w:t>
      </w:r>
      <w:r>
        <w:rPr>
          <w:rFonts w:hint="default" w:ascii="Times New Roman" w:hAnsi="Times New Roman" w:cs="Times New Roman"/>
          <w:lang w:val="en-US" w:eastAsia="zh-CN"/>
        </w:rPr>
        <w:noBreakHyphen/>
      </w:r>
      <w:r>
        <w:rPr>
          <w:rFonts w:hint="default" w:ascii="Times New Roman" w:hAnsi="Times New Roman" w:cs="Times New Roman"/>
          <w:lang w:val="en-US" w:eastAsia="zh-CN"/>
        </w:rPr>
        <w:t>demand design principles. The objective is to minimize the high</w:t>
      </w:r>
      <w:r>
        <w:rPr>
          <w:rFonts w:hint="default" w:ascii="Times New Roman" w:hAnsi="Times New Roman" w:cs="Times New Roman"/>
          <w:lang w:val="en-US" w:eastAsia="zh-CN"/>
        </w:rPr>
        <w:noBreakHyphen/>
      </w:r>
      <w:r>
        <w:rPr>
          <w:rFonts w:hint="default" w:ascii="Times New Roman" w:hAnsi="Times New Roman" w:cs="Times New Roman"/>
          <w:lang w:val="en-US" w:eastAsia="zh-CN"/>
        </w:rPr>
        <w:t>level state machine while enabling adaptation via configurable states/sub</w:t>
      </w:r>
      <w:r>
        <w:rPr>
          <w:rFonts w:hint="default" w:ascii="Times New Roman" w:hAnsi="Times New Roman" w:cs="Times New Roman"/>
          <w:lang w:val="en-US" w:eastAsia="zh-CN"/>
        </w:rPr>
        <w:noBreakHyphen/>
      </w:r>
      <w:r>
        <w:rPr>
          <w:rFonts w:hint="default" w:ascii="Times New Roman" w:hAnsi="Times New Roman" w:cs="Times New Roman"/>
          <w:lang w:val="en-US" w:eastAsia="zh-CN"/>
        </w:rPr>
        <w:t>states tailored to specific UE and service requirements.</w:t>
      </w:r>
    </w:p>
    <w:p w14:paraId="3D5C1AE6">
      <w:pPr>
        <w:spacing w:before="120" w:beforeLines="50" w:after="120" w:afterLines="50"/>
        <w:rPr>
          <w:rFonts w:hint="default" w:ascii="Times New Roman" w:hAnsi="Times New Roman" w:cs="Times New Roman"/>
          <w:lang w:val="en-US" w:eastAsia="zh-CN"/>
        </w:rPr>
      </w:pPr>
      <w:r>
        <w:rPr>
          <w:rFonts w:hint="eastAsia" w:ascii="Times New Roman" w:hAnsi="Times New Roman" w:cs="Times New Roman"/>
          <w:b/>
          <w:bCs/>
          <w:i/>
          <w:iCs/>
          <w:szCs w:val="21"/>
          <w:lang w:val="en-US" w:eastAsia="zh-CN"/>
        </w:rPr>
        <w:t>Proposal 1: A simplified and flexible RRC state model with configurable states/sub</w:t>
      </w:r>
      <w:r>
        <w:rPr>
          <w:rFonts w:hint="eastAsia" w:ascii="Times New Roman" w:hAnsi="Times New Roman" w:cs="Times New Roman"/>
          <w:b/>
          <w:bCs/>
          <w:i/>
          <w:iCs/>
          <w:szCs w:val="21"/>
          <w:lang w:val="en-US" w:eastAsia="zh-CN"/>
        </w:rPr>
        <w:noBreakHyphen/>
      </w:r>
      <w:r>
        <w:rPr>
          <w:rFonts w:hint="eastAsia" w:ascii="Times New Roman" w:hAnsi="Times New Roman" w:cs="Times New Roman"/>
          <w:b/>
          <w:bCs/>
          <w:i/>
          <w:iCs/>
          <w:szCs w:val="21"/>
          <w:lang w:val="en-US" w:eastAsia="zh-CN"/>
        </w:rPr>
        <w:t>states should be studied for 6GR to aligned with specific UE and service requirements.</w:t>
      </w:r>
    </w:p>
    <w:p w14:paraId="359DF229">
      <w:pPr>
        <w:pStyle w:val="3"/>
        <w:numPr>
          <w:ilvl w:val="1"/>
          <w:numId w:val="6"/>
        </w:numPr>
        <w:tabs>
          <w:tab w:val="left" w:pos="420"/>
          <w:tab w:val="clear" w:pos="756"/>
        </w:tabs>
        <w:spacing w:before="180" w:after="120" w:line="240" w:lineRule="auto"/>
        <w:ind w:left="424" w:hanging="424"/>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Cell management</w:t>
      </w:r>
    </w:p>
    <w:p w14:paraId="624306E4">
      <w:pPr>
        <w:spacing w:before="120" w:beforeLines="50" w:after="120" w:afterLines="50" w:line="240" w:lineRule="auto"/>
        <w:rPr>
          <w:rFonts w:hint="default" w:ascii="Times New Roman" w:hAnsi="Times New Roman" w:cs="Times New Roman"/>
        </w:rPr>
      </w:pPr>
      <w:r>
        <w:rPr>
          <w:rFonts w:hint="default" w:ascii="Times New Roman" w:hAnsi="Times New Roman" w:cs="Times New Roman"/>
        </w:rPr>
        <w:t>In current 4G/5G systems, the fundamental unit of RAN coverage is the cell, typically defined by a base station carrier frequency combination. Each frequency carrier transmitted by a gNB acts as a separate cell entity for idle UEs, broadcasting its own synchronization signals and system information. Idle UEs must search for and camp on one cell per carrier and listen to its broadcast info to access the network on that frequenc</w:t>
      </w:r>
      <w:r>
        <w:rPr>
          <w:rFonts w:hint="eastAsia" w:ascii="Times New Roman" w:hAnsi="Times New Roman" w:cs="Times New Roman"/>
          <w:lang w:val="en-US" w:eastAsia="zh-CN"/>
        </w:rPr>
        <w:t>y</w:t>
      </w:r>
      <w:r>
        <w:rPr>
          <w:rFonts w:hint="default" w:ascii="Times New Roman" w:hAnsi="Times New Roman" w:cs="Times New Roman"/>
        </w:rPr>
        <w:t xml:space="preserve">. This single-carrier-per-cell leads to several </w:t>
      </w:r>
      <w:r>
        <w:rPr>
          <w:rFonts w:hint="default" w:ascii="Times New Roman" w:hAnsi="Times New Roman" w:cs="Times New Roman"/>
          <w:lang w:eastAsia="zh-CN"/>
        </w:rPr>
        <w:t>inefficiencies</w:t>
      </w:r>
      <w:r>
        <w:rPr>
          <w:rFonts w:hint="default" w:ascii="Times New Roman" w:hAnsi="Times New Roman" w:cs="Times New Roman"/>
        </w:rPr>
        <w:t>:</w:t>
      </w:r>
    </w:p>
    <w:p w14:paraId="3DE453F0">
      <w:pPr>
        <w:spacing w:before="120" w:beforeLines="50" w:after="120" w:afterLines="50" w:line="240" w:lineRule="auto"/>
        <w:rPr>
          <w:rFonts w:hint="default" w:ascii="Times New Roman" w:hAnsi="Times New Roman" w:cs="Times New Roman"/>
        </w:rPr>
      </w:pPr>
      <w:r>
        <w:rPr>
          <w:rFonts w:hint="default" w:ascii="Times New Roman" w:hAnsi="Times New Roman" w:cs="Times New Roman"/>
          <w:b/>
          <w:bCs/>
        </w:rPr>
        <w:t>Idle Mode Energy Overhead:</w:t>
      </w:r>
      <w:r>
        <w:rPr>
          <w:rFonts w:hint="default" w:ascii="Times New Roman" w:hAnsi="Times New Roman" w:cs="Times New Roman"/>
        </w:rPr>
        <w:t xml:space="preserve"> A significant portion of network energy is spent on providing basic coverage and keeping idle UEs informed, rather than on active data traffic. Studies have shown that the power consumed in continuously transmitting cell reference signals and system information across the network can far exceed the incremental energy used for actual user data transfer.</w:t>
      </w:r>
      <w:r>
        <w:rPr>
          <w:rFonts w:hint="eastAsia" w:ascii="Times New Roman" w:hAnsi="Times New Roman" w:cs="Times New Roman"/>
          <w:lang w:val="en-US" w:eastAsia="zh-CN"/>
        </w:rPr>
        <w:t xml:space="preserve"> </w:t>
      </w:r>
      <w:r>
        <w:rPr>
          <w:rFonts w:hint="default" w:ascii="Times New Roman" w:hAnsi="Times New Roman" w:cs="Times New Roman"/>
        </w:rPr>
        <w:t>In 5G, despite an ultra-lean design philosophy, each active carrier still emits periodic SSBs (typically every 20 ms) and other channel broadcasts by design. If an operator deploys many carriers (including high-frequency bands for capacity), the aggregate idle-mode energy cost multiplies, since each carrier broadcasts its own SSB/SIB even if no UE is actively using that carrier. The overhead is particularly acute for mmWave bands in 6G which might have intermittent usage – keeping them always broadcasting wastes power.</w:t>
      </w:r>
    </w:p>
    <w:p w14:paraId="4710ECDD">
      <w:pPr>
        <w:spacing w:before="120" w:beforeLines="50" w:after="120" w:afterLines="50" w:line="240" w:lineRule="auto"/>
        <w:rPr>
          <w:rFonts w:hint="default" w:ascii="Times New Roman" w:hAnsi="Times New Roman" w:cs="Times New Roman"/>
        </w:rPr>
      </w:pPr>
      <w:r>
        <w:rPr>
          <w:rFonts w:hint="default" w:ascii="Times New Roman" w:hAnsi="Times New Roman" w:cs="Times New Roman"/>
          <w:b/>
          <w:bCs/>
        </w:rPr>
        <w:t>Paging and Broadcast Duplication:</w:t>
      </w:r>
      <w:r>
        <w:rPr>
          <w:rFonts w:hint="default" w:ascii="Times New Roman" w:hAnsi="Times New Roman" w:cs="Times New Roman"/>
        </w:rPr>
        <w:t xml:space="preserve"> Similarly, paging messages and system information have to be sent per carrier. In current 5G multi-band deployments, an idle UE is typically assigned a primary cell where it receives paging; other carriers might not page the UE unless they are configured as secondary cell which only occurs after connection. This architecture simplifies UE design (only need to monitor one paging channel at a time), but it also means that each carrier still maintains the capability for independent paging and broadcast in case a UE camps there. The duplication of broadcasts across carriers increases the overall air-interface load.</w:t>
      </w:r>
    </w:p>
    <w:p w14:paraId="0C3D608A">
      <w:pPr>
        <w:numPr>
          <w:ilvl w:val="0"/>
          <w:numId w:val="0"/>
        </w:numPr>
        <w:rPr>
          <w:rFonts w:hint="default" w:ascii="Times New Roman" w:hAnsi="Times New Roman" w:cs="Times New Roman"/>
        </w:rPr>
      </w:pPr>
      <w:r>
        <w:rPr>
          <w:rFonts w:hint="default" w:ascii="Times New Roman" w:hAnsi="Times New Roman" w:cs="Times New Roman"/>
          <w:b/>
          <w:bCs/>
        </w:rPr>
        <w:t>Idle UE Measurement Burden:</w:t>
      </w:r>
      <w:r>
        <w:rPr>
          <w:rFonts w:hint="default" w:ascii="Times New Roman" w:hAnsi="Times New Roman" w:cs="Times New Roman"/>
        </w:rPr>
        <w:t xml:space="preserve"> Because each carrier acts as a separate cell with its own coverage footprint, idle UEs must occasionally search across all supported frequency layers for the best cell (cell reselection). In a multi-layer network (low, mid, high bands), UEs periodically wake and measure each band’s signals. This frequent inter-frequency measurement consumes UE power and introduces latency in cell reselection. A traditional design forces UEs to treat every carrier as a distinct entity to monitor. In 5G, features like speed-dependent measurement relaxation exist, but fundamentally the more carriers deployed, the more work an idle UE has to do to ensure it’s on the optimal cell. This can drain battery and also delay connection establishment if the UE needs to switch cells during random access.</w:t>
      </w:r>
    </w:p>
    <w:p w14:paraId="26A10C3C">
      <w:pPr>
        <w:spacing w:before="120" w:beforeLines="50" w:after="120" w:afterLines="50" w:line="240" w:lineRule="auto"/>
        <w:rPr>
          <w:rFonts w:hint="default" w:ascii="Times New Roman" w:hAnsi="Times New Roman" w:cs="Times New Roman"/>
        </w:rPr>
      </w:pPr>
      <w:r>
        <w:rPr>
          <w:rFonts w:hint="default" w:ascii="Times New Roman" w:hAnsi="Times New Roman" w:cs="Times New Roman"/>
          <w:b/>
          <w:bCs/>
        </w:rPr>
        <w:t>Carrier Aggregation Complexity:</w:t>
      </w:r>
      <w:r>
        <w:rPr>
          <w:rFonts w:hint="default" w:ascii="Times New Roman" w:hAnsi="Times New Roman" w:cs="Times New Roman"/>
        </w:rPr>
        <w:t xml:space="preserve"> In connected mode, 5G supports Carrier Aggregation (CA), where a UE can utilize multiple carriers simultaneously (one primary cell and multiple secondary cells). However, setting up CA requires RRC signaling to add secondary cells (SCells) and each added SCell comes with its own configuration (SCell ID, SSB, reference signals, etc.). The primary cell (PCell) remains the anchor for RRC control, while SCells are mostly user-plane. Still, the UE and network must maintain synchronization and link monitoring on each active SCell. If each SCell is a full-fledged cell, there is overhead in configuration and possibly duplication of some control functions. For example, mobility between frequencies (inter-frequency handover) often involves releasing/adding cells rather than a seamless extension of the existing cell. </w:t>
      </w:r>
    </w:p>
    <w:p w14:paraId="02D03AD2">
      <w:pPr>
        <w:spacing w:before="120" w:beforeLines="50"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 xml:space="preserve">Observation 2: For the case deploying many carriers, single-carrier-per-cell design would lead to </w:t>
      </w:r>
      <w:r>
        <w:rPr>
          <w:rFonts w:hint="default" w:ascii="Times New Roman" w:hAnsi="Times New Roman" w:cs="Times New Roman"/>
          <w:b/>
          <w:bCs/>
          <w:i/>
          <w:iCs/>
          <w:szCs w:val="21"/>
          <w:lang w:val="en-US" w:eastAsia="zh-CN"/>
        </w:rPr>
        <w:t>Idle Mode Energy Overhead</w:t>
      </w:r>
      <w:r>
        <w:rPr>
          <w:rFonts w:hint="eastAsia" w:ascii="Times New Roman" w:hAnsi="Times New Roman" w:cs="Times New Roman"/>
          <w:b/>
          <w:bCs/>
          <w:i/>
          <w:iCs/>
          <w:szCs w:val="21"/>
          <w:lang w:val="en-US" w:eastAsia="zh-CN"/>
        </w:rPr>
        <w:t xml:space="preserve">, </w:t>
      </w:r>
      <w:r>
        <w:rPr>
          <w:rFonts w:hint="default" w:ascii="Times New Roman" w:hAnsi="Times New Roman" w:cs="Times New Roman"/>
          <w:b/>
          <w:bCs/>
          <w:i/>
          <w:iCs/>
          <w:szCs w:val="21"/>
          <w:lang w:val="en-US" w:eastAsia="zh-CN"/>
        </w:rPr>
        <w:t>Paging and Broadcast Duplication</w:t>
      </w:r>
      <w:r>
        <w:rPr>
          <w:rFonts w:hint="eastAsia" w:ascii="Times New Roman" w:hAnsi="Times New Roman" w:cs="Times New Roman"/>
          <w:b/>
          <w:bCs/>
          <w:i/>
          <w:iCs/>
          <w:szCs w:val="21"/>
          <w:lang w:val="en-US" w:eastAsia="zh-CN"/>
        </w:rPr>
        <w:t xml:space="preserve">, </w:t>
      </w:r>
      <w:r>
        <w:rPr>
          <w:rFonts w:hint="default" w:ascii="Times New Roman" w:hAnsi="Times New Roman" w:cs="Times New Roman"/>
          <w:b/>
          <w:bCs/>
          <w:i/>
          <w:iCs/>
          <w:szCs w:val="21"/>
          <w:lang w:val="en-US" w:eastAsia="zh-CN"/>
        </w:rPr>
        <w:t>Idle UE Measurement Burde</w:t>
      </w:r>
      <w:r>
        <w:rPr>
          <w:rFonts w:hint="eastAsia" w:ascii="Times New Roman" w:hAnsi="Times New Roman" w:cs="Times New Roman"/>
          <w:b/>
          <w:bCs/>
          <w:i/>
          <w:iCs/>
          <w:szCs w:val="21"/>
          <w:lang w:val="en-US" w:eastAsia="zh-CN"/>
        </w:rPr>
        <w:t xml:space="preserve"> and </w:t>
      </w:r>
      <w:r>
        <w:rPr>
          <w:rFonts w:hint="default" w:ascii="Times New Roman" w:hAnsi="Times New Roman" w:cs="Times New Roman"/>
          <w:b/>
          <w:bCs/>
          <w:i/>
          <w:iCs/>
          <w:szCs w:val="21"/>
          <w:lang w:val="en-US" w:eastAsia="zh-CN"/>
        </w:rPr>
        <w:t>Carrier Aggregation Complexity</w:t>
      </w:r>
      <w:r>
        <w:rPr>
          <w:rFonts w:hint="eastAsia" w:ascii="Times New Roman" w:hAnsi="Times New Roman" w:cs="Times New Roman"/>
          <w:b/>
          <w:bCs/>
          <w:i/>
          <w:iCs/>
          <w:szCs w:val="21"/>
          <w:lang w:val="en-US" w:eastAsia="zh-CN"/>
        </w:rPr>
        <w:t xml:space="preserve"> for connected UE.</w:t>
      </w:r>
    </w:p>
    <w:p w14:paraId="39ABB2D2">
      <w:pPr>
        <w:spacing w:before="120" w:beforeLines="50" w:after="120" w:afterLines="50" w:line="240" w:lineRule="auto"/>
        <w:rPr>
          <w:rFonts w:hint="default" w:ascii="Times New Roman" w:hAnsi="Times New Roman" w:cs="Times New Roman"/>
          <w:lang w:val="en-US" w:eastAsia="zh-CN"/>
        </w:rPr>
      </w:pPr>
      <w:r>
        <w:rPr>
          <w:rFonts w:hint="default" w:ascii="Times New Roman" w:hAnsi="Times New Roman" w:cs="Times New Roman"/>
        </w:rPr>
        <w:t>As 6G envisions using a wide range of spectrum, the traditional cell concept may become a bottleneck in efficiently managing these resources.</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To overcome the above challenges, a unified cell architecture in 6G</w:t>
      </w:r>
      <w:r>
        <w:rPr>
          <w:rFonts w:hint="eastAsia" w:ascii="Times New Roman" w:hAnsi="Times New Roman" w:cs="Times New Roman"/>
          <w:lang w:val="en-US" w:eastAsia="zh-CN"/>
        </w:rPr>
        <w:t xml:space="preserve"> should be studied</w:t>
      </w:r>
      <w:r>
        <w:rPr>
          <w:rFonts w:hint="default" w:ascii="Times New Roman" w:hAnsi="Times New Roman" w:cs="Times New Roman"/>
          <w:lang w:val="en-US" w:eastAsia="zh-CN"/>
        </w:rPr>
        <w:t>, wherein a “</w:t>
      </w:r>
      <w:r>
        <w:rPr>
          <w:rFonts w:hint="eastAsia" w:ascii="Times New Roman" w:hAnsi="Times New Roman" w:cs="Times New Roman"/>
          <w:lang w:val="en-US" w:eastAsia="zh-CN"/>
        </w:rPr>
        <w:t xml:space="preserve">multi-carrier </w:t>
      </w:r>
      <w:r>
        <w:rPr>
          <w:rFonts w:hint="default" w:ascii="Times New Roman" w:hAnsi="Times New Roman" w:cs="Times New Roman"/>
          <w:lang w:val="en-US" w:eastAsia="zh-CN"/>
        </w:rPr>
        <w:t>cell” can span multiple carriers (frequencies) under one logical entity. In essence, a base station could have one broadcast cell identity covering multiple carriers, with a flexible arrangement of coverage carriers</w:t>
      </w:r>
      <w:r>
        <w:rPr>
          <w:rFonts w:hint="eastAsia" w:ascii="Times New Roman" w:hAnsi="Times New Roman" w:cs="Times New Roman"/>
          <w:lang w:val="en-US" w:eastAsia="zh-CN"/>
        </w:rPr>
        <w:t xml:space="preserve"> for idle UEs</w:t>
      </w:r>
      <w:r>
        <w:rPr>
          <w:rFonts w:hint="default" w:ascii="Times New Roman" w:hAnsi="Times New Roman" w:cs="Times New Roman"/>
          <w:lang w:val="en-US" w:eastAsia="zh-CN"/>
        </w:rPr>
        <w:t xml:space="preserve"> vs. capacity carriers</w:t>
      </w:r>
      <w:r>
        <w:rPr>
          <w:rFonts w:hint="eastAsia" w:ascii="Times New Roman" w:hAnsi="Times New Roman" w:cs="Times New Roman"/>
          <w:lang w:val="en-US" w:eastAsia="zh-CN"/>
        </w:rPr>
        <w:t xml:space="preserve"> for connected UEs.</w:t>
      </w:r>
    </w:p>
    <w:p w14:paraId="6F9E394D">
      <w:pPr>
        <w:spacing w:before="120" w:beforeLines="50" w:after="120" w:afterLines="50"/>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2: In the 6G RAN RRC architecture, introduce a unified multi-carrier cell design for both idle and connected modes UE.</w:t>
      </w:r>
    </w:p>
    <w:p w14:paraId="5250B791">
      <w:pPr>
        <w:pStyle w:val="3"/>
        <w:numPr>
          <w:ilvl w:val="1"/>
          <w:numId w:val="6"/>
        </w:numPr>
        <w:tabs>
          <w:tab w:val="left" w:pos="420"/>
          <w:tab w:val="clear" w:pos="756"/>
        </w:tabs>
        <w:spacing w:before="180" w:after="120" w:line="240" w:lineRule="auto"/>
        <w:ind w:left="424" w:hanging="424"/>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H</w:t>
      </w:r>
      <w:r>
        <w:rPr>
          <w:rFonts w:hint="default" w:ascii="Times New Roman" w:hAnsi="Times New Roman" w:eastAsia="宋体" w:cs="Times New Roman"/>
          <w:sz w:val="24"/>
          <w:szCs w:val="24"/>
          <w:lang w:val="en-US" w:eastAsia="zh-CN"/>
        </w:rPr>
        <w:t>armonized 6G Radio design for TN and NTN</w:t>
      </w:r>
    </w:p>
    <w:p w14:paraId="75B439B1">
      <w:pPr>
        <w:pStyle w:val="59"/>
        <w:shd w:val="clear" w:color="auto" w:fill="FFFFFF"/>
        <w:spacing w:before="0" w:beforeAutospacing="0" w:after="120" w:afterAutospacing="0"/>
        <w:jc w:val="both"/>
        <w:rPr>
          <w:sz w:val="21"/>
          <w:szCs w:val="21"/>
        </w:rPr>
      </w:pPr>
      <w:r>
        <w:rPr>
          <w:sz w:val="21"/>
          <w:szCs w:val="21"/>
        </w:rPr>
        <w:t xml:space="preserve">To achieve the objective of IMT-2030 vision of global ubiquitous connectivity, there is an ongoing discussion in both SA and RAN 3GPP working groups on 6G system and radio access architecture encompassing both terrestrial and non-terrestrial network access/infrastructure from day-one. </w:t>
      </w:r>
      <w:r>
        <w:rPr>
          <w:color w:val="0F1115"/>
          <w:sz w:val="21"/>
          <w:szCs w:val="21"/>
          <w:shd w:val="clear" w:color="auto" w:fill="FFFFFF"/>
        </w:rPr>
        <w:t xml:space="preserve">3GPP SA WGs are currently discussing several use-cases and requirements such as HAPS-based rapid deployable network for public safety, ubiquitous emergency rescue via UAVs, immersive media services for advanced air mobility enabled by 6G NTN, and enhanced user experience with sparse LEO satellite deployment - demanding a unified 6G TN/NTN design [1]. On the other hand, 3GPP RAN WGs are also aiming at supporting NTN deployment scenarios with clear objectives towards harmonizing 6G Radio design for TN and NTN [2-3]. </w:t>
      </w:r>
      <w:r>
        <w:rPr>
          <w:sz w:val="21"/>
          <w:szCs w:val="21"/>
        </w:rPr>
        <w:t>Having a unified TN/NTN design from day-one is crucial for covering the remaining coverage gaps such as oceans, mountains, rural areas, and even airspace for drones and airplanes connectivity. Moreover, a unified TN/NTN design enables seamlessly support of mobility and services that cross between terrestrial and satellite links without the complexity of adding new technology, features, or components to the 6G initial protocols later on.</w:t>
      </w:r>
    </w:p>
    <w:p w14:paraId="54EDCB84">
      <w:pPr>
        <w:spacing w:before="120" w:beforeLines="50"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Observation 3-1: A unified TN/NTN design from day one is essential for 6G to provide ubiquitous coverage and seamless service continuity, preventing the need for complex and costly integration of non-terrestrial components at a later stage</w:t>
      </w:r>
    </w:p>
    <w:p w14:paraId="7F9A97A9">
      <w:pPr>
        <w:pStyle w:val="4"/>
        <w:spacing w:before="180" w:after="120" w:line="240" w:lineRule="auto"/>
        <w:ind w:left="901" w:hanging="901"/>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Unified Radio Interface </w:t>
      </w:r>
    </w:p>
    <w:p w14:paraId="68B91904">
      <w:pPr>
        <w:pStyle w:val="59"/>
        <w:shd w:val="clear" w:color="auto" w:fill="FFFFFF"/>
        <w:spacing w:before="0" w:beforeAutospacing="0" w:after="0" w:afterAutospacing="0"/>
        <w:jc w:val="both"/>
        <w:rPr>
          <w:color w:val="0F1115"/>
          <w:sz w:val="21"/>
          <w:szCs w:val="21"/>
          <w:shd w:val="clear" w:color="auto" w:fill="FFFFFF"/>
        </w:rPr>
      </w:pPr>
      <w:r>
        <w:rPr>
          <w:color w:val="0F1115"/>
          <w:sz w:val="21"/>
          <w:szCs w:val="21"/>
          <w:shd w:val="clear" w:color="auto" w:fill="FFFFFF"/>
        </w:rPr>
        <w:t>A unified 6G air interface must support diverse platforms with vastly different characteristics: propagation delays ranging from milliseconds (TN) to hundreds of milliseconds (GEO), extreme Doppler shifts, heterogeneous link budgets, and distinct channel conditions. Key asymmetries exist in coverage areas, beam characteristics, and dynamic topologies - with LEO constellations and UAVs requiring frequent handovers compared to relatively static GEO and terrestrial networks (</w:t>
      </w:r>
      <w:r>
        <w:rPr>
          <w:b/>
          <w:color w:val="0F1115"/>
          <w:sz w:val="21"/>
          <w:szCs w:val="21"/>
          <w:shd w:val="clear" w:color="auto" w:fill="FFFFFF"/>
        </w:rPr>
        <w:t>Table 1</w:t>
      </w:r>
      <w:r>
        <w:rPr>
          <w:color w:val="0F1115"/>
          <w:sz w:val="21"/>
          <w:szCs w:val="21"/>
          <w:shd w:val="clear" w:color="auto" w:fill="FFFFFF"/>
        </w:rPr>
        <w:t>). Current 5G initial access and RRC framework face significant challenges in these mixed environments that demand a flexible waveform and air interface configuration. This creates a fundamental requirement for platform-agnostic unified initial access and connection establishment in the unified air interface.</w:t>
      </w:r>
    </w:p>
    <w:p w14:paraId="20019A94">
      <w:pPr>
        <w:spacing w:before="120" w:beforeLines="50"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Observation 3-2: The significant physical layer disparities between TN and NTN platforms necessitate unified access and RRC modelling procedures that can automatically adapt to different waveform and TN/NTN platform signal characteristics.</w:t>
      </w:r>
    </w:p>
    <w:tbl>
      <w:tblPr>
        <w:tblStyle w:val="21"/>
        <w:tblpPr w:leftFromText="180" w:rightFromText="180" w:vertAnchor="text" w:horzAnchor="margin" w:tblpX="142" w:tblpY="518"/>
        <w:tblW w:w="9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097"/>
        <w:gridCol w:w="1388"/>
        <w:gridCol w:w="1302"/>
        <w:gridCol w:w="1238"/>
        <w:gridCol w:w="1328"/>
        <w:gridCol w:w="1343"/>
      </w:tblGrid>
      <w:tr w14:paraId="26D9E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604" w:type="dxa"/>
          </w:tcPr>
          <w:p w14:paraId="5AB9DC15">
            <w:pPr>
              <w:jc w:val="left"/>
              <w:rPr>
                <w:rFonts w:ascii="Times New Roman" w:hAnsi="Times New Roman" w:eastAsia="等线" w:cs="Times New Roman"/>
                <w:b/>
                <w:bCs/>
                <w:sz w:val="16"/>
                <w:szCs w:val="16"/>
              </w:rPr>
            </w:pPr>
            <w:r>
              <w:rPr>
                <w:rFonts w:ascii="Times New Roman" w:hAnsi="Times New Roman" w:eastAsia="等线" w:cs="Times New Roman"/>
                <w:b/>
                <w:bCs/>
                <w:sz w:val="16"/>
                <w:szCs w:val="16"/>
              </w:rPr>
              <w:t>Parameter</w:t>
            </w:r>
          </w:p>
        </w:tc>
        <w:tc>
          <w:tcPr>
            <w:tcW w:w="1097" w:type="dxa"/>
          </w:tcPr>
          <w:p w14:paraId="273CEE9E">
            <w:pPr>
              <w:jc w:val="left"/>
              <w:rPr>
                <w:rFonts w:ascii="Times New Roman" w:hAnsi="Times New Roman" w:eastAsia="等线" w:cs="Times New Roman"/>
                <w:b/>
                <w:bCs/>
                <w:sz w:val="16"/>
                <w:szCs w:val="16"/>
              </w:rPr>
            </w:pPr>
            <w:r>
              <w:rPr>
                <w:rFonts w:ascii="Times New Roman" w:hAnsi="Times New Roman" w:eastAsia="等线" w:cs="Times New Roman"/>
                <w:b/>
                <w:bCs/>
                <w:sz w:val="16"/>
                <w:szCs w:val="16"/>
              </w:rPr>
              <w:t>UAV (Drone)</w:t>
            </w:r>
          </w:p>
        </w:tc>
        <w:tc>
          <w:tcPr>
            <w:tcW w:w="1388" w:type="dxa"/>
          </w:tcPr>
          <w:p w14:paraId="679AE6D5">
            <w:pPr>
              <w:jc w:val="left"/>
              <w:rPr>
                <w:rFonts w:ascii="Times New Roman" w:hAnsi="Times New Roman" w:eastAsia="等线" w:cs="Times New Roman"/>
                <w:b/>
                <w:bCs/>
                <w:sz w:val="16"/>
                <w:szCs w:val="16"/>
              </w:rPr>
            </w:pPr>
            <w:r>
              <w:rPr>
                <w:rFonts w:ascii="Times New Roman" w:hAnsi="Times New Roman" w:eastAsia="等线" w:cs="Times New Roman"/>
                <w:b/>
                <w:bCs/>
                <w:sz w:val="16"/>
                <w:szCs w:val="16"/>
              </w:rPr>
              <w:t>HAPS</w:t>
            </w:r>
          </w:p>
        </w:tc>
        <w:tc>
          <w:tcPr>
            <w:tcW w:w="1302" w:type="dxa"/>
          </w:tcPr>
          <w:p w14:paraId="3C966580">
            <w:pPr>
              <w:jc w:val="left"/>
              <w:rPr>
                <w:rFonts w:ascii="Times New Roman" w:hAnsi="Times New Roman" w:eastAsia="等线" w:cs="Times New Roman"/>
                <w:b/>
                <w:bCs/>
                <w:sz w:val="16"/>
                <w:szCs w:val="16"/>
              </w:rPr>
            </w:pPr>
            <w:r>
              <w:rPr>
                <w:rFonts w:ascii="Times New Roman" w:hAnsi="Times New Roman" w:eastAsia="等线" w:cs="Times New Roman"/>
                <w:b/>
                <w:bCs/>
                <w:sz w:val="16"/>
                <w:szCs w:val="16"/>
              </w:rPr>
              <w:t>LEO Satellite</w:t>
            </w:r>
          </w:p>
        </w:tc>
        <w:tc>
          <w:tcPr>
            <w:tcW w:w="1238" w:type="dxa"/>
          </w:tcPr>
          <w:p w14:paraId="70C0BD75">
            <w:pPr>
              <w:jc w:val="left"/>
              <w:rPr>
                <w:rFonts w:ascii="Times New Roman" w:hAnsi="Times New Roman" w:eastAsia="等线" w:cs="Times New Roman"/>
                <w:b/>
                <w:bCs/>
                <w:sz w:val="16"/>
                <w:szCs w:val="16"/>
              </w:rPr>
            </w:pPr>
            <w:r>
              <w:rPr>
                <w:rFonts w:ascii="Times New Roman" w:hAnsi="Times New Roman" w:eastAsia="等线" w:cs="Times New Roman"/>
                <w:b/>
                <w:bCs/>
                <w:sz w:val="16"/>
                <w:szCs w:val="16"/>
              </w:rPr>
              <w:t>MEO Satellite</w:t>
            </w:r>
          </w:p>
        </w:tc>
        <w:tc>
          <w:tcPr>
            <w:tcW w:w="1328" w:type="dxa"/>
          </w:tcPr>
          <w:p w14:paraId="2D31292A">
            <w:pPr>
              <w:jc w:val="left"/>
              <w:rPr>
                <w:rFonts w:ascii="Times New Roman" w:hAnsi="Times New Roman" w:eastAsia="等线" w:cs="Times New Roman"/>
                <w:b/>
                <w:bCs/>
                <w:sz w:val="16"/>
                <w:szCs w:val="16"/>
              </w:rPr>
            </w:pPr>
            <w:r>
              <w:rPr>
                <w:rFonts w:ascii="Times New Roman" w:hAnsi="Times New Roman" w:eastAsia="等线" w:cs="Times New Roman"/>
                <w:b/>
                <w:bCs/>
                <w:sz w:val="16"/>
                <w:szCs w:val="16"/>
              </w:rPr>
              <w:t>GEO Satellite</w:t>
            </w:r>
          </w:p>
        </w:tc>
        <w:tc>
          <w:tcPr>
            <w:tcW w:w="1343" w:type="dxa"/>
          </w:tcPr>
          <w:p w14:paraId="52050D3E">
            <w:pPr>
              <w:jc w:val="left"/>
              <w:rPr>
                <w:rFonts w:ascii="Times New Roman" w:hAnsi="Times New Roman" w:eastAsia="等线" w:cs="Times New Roman"/>
                <w:b/>
                <w:bCs/>
                <w:sz w:val="16"/>
                <w:szCs w:val="16"/>
              </w:rPr>
            </w:pPr>
            <w:r>
              <w:rPr>
                <w:rFonts w:ascii="Times New Roman" w:hAnsi="Times New Roman" w:eastAsia="等线" w:cs="Times New Roman"/>
                <w:b/>
                <w:bCs/>
                <w:sz w:val="16"/>
                <w:szCs w:val="16"/>
              </w:rPr>
              <w:t>Terrestrial (TN)</w:t>
            </w:r>
          </w:p>
        </w:tc>
      </w:tr>
      <w:tr w14:paraId="2D75A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604" w:type="dxa"/>
            <w:shd w:val="clear" w:color="auto" w:fill="auto"/>
          </w:tcPr>
          <w:p w14:paraId="11724EEA">
            <w:pPr>
              <w:jc w:val="left"/>
              <w:rPr>
                <w:rFonts w:ascii="Times New Roman" w:hAnsi="Times New Roman" w:eastAsia="等线" w:cs="Times New Roman"/>
                <w:b/>
                <w:sz w:val="16"/>
                <w:szCs w:val="16"/>
              </w:rPr>
            </w:pPr>
            <w:r>
              <w:rPr>
                <w:rFonts w:ascii="Times New Roman" w:hAnsi="Times New Roman" w:eastAsia="等线" w:cs="Times New Roman"/>
                <w:b/>
                <w:bCs/>
                <w:sz w:val="16"/>
                <w:szCs w:val="16"/>
              </w:rPr>
              <w:t>Altitude</w:t>
            </w:r>
          </w:p>
        </w:tc>
        <w:tc>
          <w:tcPr>
            <w:tcW w:w="1097" w:type="dxa"/>
          </w:tcPr>
          <w:p w14:paraId="694A1E9A">
            <w:pPr>
              <w:jc w:val="left"/>
              <w:rPr>
                <w:rFonts w:ascii="Times New Roman" w:hAnsi="Times New Roman" w:eastAsia="等线" w:cs="Times New Roman"/>
                <w:sz w:val="16"/>
                <w:szCs w:val="16"/>
              </w:rPr>
            </w:pPr>
            <w:r>
              <w:rPr>
                <w:rFonts w:ascii="Times New Roman" w:hAnsi="Times New Roman" w:eastAsia="等线" w:cs="Times New Roman"/>
                <w:sz w:val="16"/>
                <w:szCs w:val="16"/>
              </w:rPr>
              <w:t>50 m – 10 km</w:t>
            </w:r>
          </w:p>
        </w:tc>
        <w:tc>
          <w:tcPr>
            <w:tcW w:w="1388" w:type="dxa"/>
          </w:tcPr>
          <w:p w14:paraId="5B84F19B">
            <w:pPr>
              <w:jc w:val="left"/>
              <w:rPr>
                <w:rFonts w:ascii="Times New Roman" w:hAnsi="Times New Roman" w:eastAsia="等线" w:cs="Times New Roman"/>
                <w:sz w:val="16"/>
                <w:szCs w:val="16"/>
              </w:rPr>
            </w:pPr>
            <w:r>
              <w:rPr>
                <w:rFonts w:ascii="Times New Roman" w:hAnsi="Times New Roman" w:eastAsia="等线" w:cs="Times New Roman"/>
                <w:sz w:val="16"/>
                <w:szCs w:val="16"/>
              </w:rPr>
              <w:t>18–25 km</w:t>
            </w:r>
          </w:p>
        </w:tc>
        <w:tc>
          <w:tcPr>
            <w:tcW w:w="1302" w:type="dxa"/>
          </w:tcPr>
          <w:p w14:paraId="1635A439">
            <w:pPr>
              <w:jc w:val="left"/>
              <w:rPr>
                <w:rFonts w:ascii="Times New Roman" w:hAnsi="Times New Roman" w:eastAsia="等线" w:cs="Times New Roman"/>
                <w:sz w:val="16"/>
                <w:szCs w:val="16"/>
              </w:rPr>
            </w:pPr>
            <w:r>
              <w:rPr>
                <w:rFonts w:ascii="Times New Roman" w:hAnsi="Times New Roman" w:eastAsia="等线" w:cs="Times New Roman"/>
                <w:sz w:val="16"/>
                <w:szCs w:val="16"/>
              </w:rPr>
              <w:t>500–1,500 km</w:t>
            </w:r>
          </w:p>
        </w:tc>
        <w:tc>
          <w:tcPr>
            <w:tcW w:w="1238" w:type="dxa"/>
          </w:tcPr>
          <w:p w14:paraId="22E9DB2D">
            <w:pPr>
              <w:jc w:val="left"/>
              <w:rPr>
                <w:rFonts w:ascii="Times New Roman" w:hAnsi="Times New Roman" w:eastAsia="等线" w:cs="Times New Roman"/>
                <w:sz w:val="16"/>
                <w:szCs w:val="16"/>
              </w:rPr>
            </w:pPr>
            <w:r>
              <w:rPr>
                <w:rFonts w:ascii="Times New Roman" w:hAnsi="Times New Roman" w:eastAsia="等线" w:cs="Times New Roman"/>
                <w:sz w:val="16"/>
                <w:szCs w:val="16"/>
              </w:rPr>
              <w:t>8,000–20,000 km</w:t>
            </w:r>
          </w:p>
        </w:tc>
        <w:tc>
          <w:tcPr>
            <w:tcW w:w="1328" w:type="dxa"/>
          </w:tcPr>
          <w:p w14:paraId="008A173B">
            <w:pPr>
              <w:jc w:val="left"/>
              <w:rPr>
                <w:rFonts w:ascii="Times New Roman" w:hAnsi="Times New Roman" w:eastAsia="等线" w:cs="Times New Roman"/>
                <w:sz w:val="16"/>
                <w:szCs w:val="16"/>
              </w:rPr>
            </w:pPr>
            <w:r>
              <w:rPr>
                <w:rFonts w:ascii="Times New Roman" w:hAnsi="Times New Roman" w:eastAsia="等线" w:cs="Times New Roman"/>
                <w:sz w:val="16"/>
                <w:szCs w:val="16"/>
              </w:rPr>
              <w:t>35,786 km</w:t>
            </w:r>
          </w:p>
        </w:tc>
        <w:tc>
          <w:tcPr>
            <w:tcW w:w="1343" w:type="dxa"/>
          </w:tcPr>
          <w:p w14:paraId="4CA9E9A8">
            <w:pPr>
              <w:jc w:val="left"/>
              <w:rPr>
                <w:rFonts w:ascii="Times New Roman" w:hAnsi="Times New Roman" w:eastAsia="等线" w:cs="Times New Roman"/>
                <w:sz w:val="16"/>
                <w:szCs w:val="16"/>
              </w:rPr>
            </w:pPr>
            <w:r>
              <w:rPr>
                <w:rFonts w:ascii="Times New Roman" w:hAnsi="Times New Roman" w:eastAsia="等线" w:cs="Times New Roman"/>
                <w:sz w:val="16"/>
                <w:szCs w:val="16"/>
              </w:rPr>
              <w:t>10–50 m (Macro)</w:t>
            </w:r>
          </w:p>
        </w:tc>
      </w:tr>
      <w:tr w14:paraId="0BA53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1604" w:type="dxa"/>
            <w:shd w:val="clear" w:color="auto" w:fill="auto"/>
          </w:tcPr>
          <w:p w14:paraId="158ECFD1">
            <w:pPr>
              <w:jc w:val="left"/>
              <w:rPr>
                <w:rFonts w:ascii="Times New Roman" w:hAnsi="Times New Roman" w:eastAsia="等线" w:cs="Times New Roman"/>
                <w:b/>
                <w:sz w:val="16"/>
                <w:szCs w:val="16"/>
              </w:rPr>
            </w:pPr>
            <w:bookmarkStart w:id="2" w:name="_Hlk200911855"/>
            <w:r>
              <w:rPr>
                <w:rFonts w:ascii="Times New Roman" w:hAnsi="Times New Roman" w:eastAsia="等线" w:cs="Times New Roman"/>
                <w:b/>
                <w:bCs/>
                <w:sz w:val="16"/>
                <w:szCs w:val="16"/>
              </w:rPr>
              <w:t>Cell Size (Diameter)</w:t>
            </w:r>
          </w:p>
        </w:tc>
        <w:tc>
          <w:tcPr>
            <w:tcW w:w="1097" w:type="dxa"/>
          </w:tcPr>
          <w:p w14:paraId="22C73781">
            <w:pPr>
              <w:jc w:val="left"/>
              <w:rPr>
                <w:rFonts w:ascii="Times New Roman" w:hAnsi="Times New Roman" w:eastAsia="等线" w:cs="Times New Roman"/>
                <w:sz w:val="16"/>
                <w:szCs w:val="16"/>
              </w:rPr>
            </w:pPr>
            <w:r>
              <w:rPr>
                <w:rFonts w:ascii="Times New Roman" w:hAnsi="Times New Roman" w:eastAsia="等线" w:cs="Times New Roman"/>
                <w:sz w:val="16"/>
                <w:szCs w:val="16"/>
              </w:rPr>
              <w:t>1–10 km</w:t>
            </w:r>
          </w:p>
        </w:tc>
        <w:tc>
          <w:tcPr>
            <w:tcW w:w="1388" w:type="dxa"/>
          </w:tcPr>
          <w:p w14:paraId="4FA91AA4">
            <w:pPr>
              <w:jc w:val="left"/>
              <w:rPr>
                <w:rFonts w:ascii="Times New Roman" w:hAnsi="Times New Roman" w:eastAsia="等线" w:cs="Times New Roman"/>
                <w:sz w:val="16"/>
                <w:szCs w:val="16"/>
              </w:rPr>
            </w:pPr>
            <w:r>
              <w:rPr>
                <w:rFonts w:ascii="Times New Roman" w:hAnsi="Times New Roman" w:eastAsia="等线" w:cs="Times New Roman"/>
                <w:sz w:val="16"/>
                <w:szCs w:val="16"/>
              </w:rPr>
              <w:t>50–200 km</w:t>
            </w:r>
          </w:p>
        </w:tc>
        <w:tc>
          <w:tcPr>
            <w:tcW w:w="1302" w:type="dxa"/>
          </w:tcPr>
          <w:p w14:paraId="256FEA0F">
            <w:pPr>
              <w:jc w:val="left"/>
              <w:rPr>
                <w:rFonts w:ascii="Times New Roman" w:hAnsi="Times New Roman" w:eastAsia="等线" w:cs="Times New Roman"/>
                <w:sz w:val="16"/>
                <w:szCs w:val="16"/>
              </w:rPr>
            </w:pPr>
            <w:r>
              <w:rPr>
                <w:rFonts w:ascii="Times New Roman" w:hAnsi="Times New Roman" w:eastAsia="等线" w:cs="Times New Roman"/>
                <w:sz w:val="16"/>
                <w:szCs w:val="16"/>
              </w:rPr>
              <w:t>50–500 km</w:t>
            </w:r>
          </w:p>
        </w:tc>
        <w:tc>
          <w:tcPr>
            <w:tcW w:w="1238" w:type="dxa"/>
          </w:tcPr>
          <w:p w14:paraId="51730B2E">
            <w:pPr>
              <w:jc w:val="left"/>
              <w:rPr>
                <w:rFonts w:ascii="Times New Roman" w:hAnsi="Times New Roman" w:eastAsia="等线" w:cs="Times New Roman"/>
                <w:sz w:val="16"/>
                <w:szCs w:val="16"/>
              </w:rPr>
            </w:pPr>
            <w:r>
              <w:rPr>
                <w:rFonts w:ascii="Times New Roman" w:hAnsi="Times New Roman" w:eastAsia="等线" w:cs="Times New Roman"/>
                <w:sz w:val="16"/>
                <w:szCs w:val="16"/>
              </w:rPr>
              <w:t>200–1,000 km</w:t>
            </w:r>
          </w:p>
        </w:tc>
        <w:tc>
          <w:tcPr>
            <w:tcW w:w="1328" w:type="dxa"/>
          </w:tcPr>
          <w:p w14:paraId="4580B35C">
            <w:pPr>
              <w:jc w:val="left"/>
              <w:rPr>
                <w:rFonts w:ascii="Times New Roman" w:hAnsi="Times New Roman" w:eastAsia="等线" w:cs="Times New Roman"/>
                <w:sz w:val="16"/>
                <w:szCs w:val="16"/>
              </w:rPr>
            </w:pPr>
            <w:r>
              <w:rPr>
                <w:rFonts w:ascii="Times New Roman" w:hAnsi="Times New Roman" w:eastAsia="等线" w:cs="Times New Roman"/>
                <w:sz w:val="16"/>
                <w:szCs w:val="16"/>
              </w:rPr>
              <w:t>200–3,500 km</w:t>
            </w:r>
          </w:p>
        </w:tc>
        <w:tc>
          <w:tcPr>
            <w:tcW w:w="1343" w:type="dxa"/>
          </w:tcPr>
          <w:p w14:paraId="756DAD7B">
            <w:pPr>
              <w:jc w:val="left"/>
              <w:rPr>
                <w:rFonts w:ascii="Times New Roman" w:hAnsi="Times New Roman" w:eastAsia="等线" w:cs="Times New Roman"/>
                <w:sz w:val="16"/>
                <w:szCs w:val="16"/>
              </w:rPr>
            </w:pPr>
            <w:r>
              <w:rPr>
                <w:rFonts w:ascii="Times New Roman" w:hAnsi="Times New Roman" w:eastAsia="等线" w:cs="Times New Roman"/>
                <w:sz w:val="16"/>
                <w:szCs w:val="16"/>
              </w:rPr>
              <w:t>0.1–3 km (Macro)</w:t>
            </w:r>
          </w:p>
        </w:tc>
      </w:tr>
      <w:tr w14:paraId="60DE4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604" w:type="dxa"/>
            <w:shd w:val="clear" w:color="auto" w:fill="auto"/>
          </w:tcPr>
          <w:p w14:paraId="5C737BDA">
            <w:pPr>
              <w:jc w:val="left"/>
              <w:rPr>
                <w:rFonts w:ascii="Times New Roman" w:hAnsi="Times New Roman" w:eastAsia="等线" w:cs="Times New Roman"/>
                <w:b/>
                <w:sz w:val="16"/>
                <w:szCs w:val="16"/>
              </w:rPr>
            </w:pPr>
            <w:r>
              <w:rPr>
                <w:rFonts w:ascii="Times New Roman" w:hAnsi="Times New Roman" w:eastAsia="等线" w:cs="Times New Roman"/>
                <w:b/>
                <w:bCs/>
                <w:sz w:val="16"/>
                <w:szCs w:val="16"/>
              </w:rPr>
              <w:t>Beam Type</w:t>
            </w:r>
          </w:p>
        </w:tc>
        <w:tc>
          <w:tcPr>
            <w:tcW w:w="1097" w:type="dxa"/>
          </w:tcPr>
          <w:p w14:paraId="55633F7F">
            <w:pPr>
              <w:jc w:val="left"/>
              <w:rPr>
                <w:rFonts w:ascii="Times New Roman" w:hAnsi="Times New Roman" w:eastAsia="等线" w:cs="Times New Roman"/>
                <w:sz w:val="16"/>
                <w:szCs w:val="16"/>
              </w:rPr>
            </w:pPr>
            <w:r>
              <w:rPr>
                <w:rFonts w:ascii="Times New Roman" w:hAnsi="Times New Roman" w:eastAsia="等线" w:cs="Times New Roman"/>
                <w:sz w:val="16"/>
                <w:szCs w:val="16"/>
              </w:rPr>
              <w:t>Narrow (Directional)</w:t>
            </w:r>
          </w:p>
        </w:tc>
        <w:tc>
          <w:tcPr>
            <w:tcW w:w="1388" w:type="dxa"/>
          </w:tcPr>
          <w:p w14:paraId="5B87DB27">
            <w:pPr>
              <w:jc w:val="left"/>
              <w:rPr>
                <w:rFonts w:ascii="Times New Roman" w:hAnsi="Times New Roman" w:eastAsia="等线" w:cs="Times New Roman"/>
                <w:sz w:val="16"/>
                <w:szCs w:val="16"/>
              </w:rPr>
            </w:pPr>
            <w:r>
              <w:rPr>
                <w:rFonts w:ascii="Times New Roman" w:hAnsi="Times New Roman" w:eastAsia="等线" w:cs="Times New Roman"/>
                <w:sz w:val="16"/>
                <w:szCs w:val="16"/>
              </w:rPr>
              <w:t>Wide (Multi-beam)</w:t>
            </w:r>
          </w:p>
        </w:tc>
        <w:tc>
          <w:tcPr>
            <w:tcW w:w="1302" w:type="dxa"/>
          </w:tcPr>
          <w:p w14:paraId="05EF5637">
            <w:pPr>
              <w:jc w:val="left"/>
              <w:rPr>
                <w:rFonts w:ascii="Times New Roman" w:hAnsi="Times New Roman" w:eastAsia="等线" w:cs="Times New Roman"/>
                <w:sz w:val="16"/>
                <w:szCs w:val="16"/>
              </w:rPr>
            </w:pPr>
            <w:r>
              <w:rPr>
                <w:rFonts w:ascii="Times New Roman" w:hAnsi="Times New Roman" w:eastAsia="等线" w:cs="Times New Roman"/>
                <w:sz w:val="16"/>
                <w:szCs w:val="16"/>
              </w:rPr>
              <w:t>Spot Beams (Multi-beam)</w:t>
            </w:r>
          </w:p>
        </w:tc>
        <w:tc>
          <w:tcPr>
            <w:tcW w:w="1238" w:type="dxa"/>
          </w:tcPr>
          <w:p w14:paraId="49CB36CD">
            <w:pPr>
              <w:jc w:val="left"/>
              <w:rPr>
                <w:rFonts w:ascii="Times New Roman" w:hAnsi="Times New Roman" w:eastAsia="等线" w:cs="Times New Roman"/>
                <w:sz w:val="16"/>
                <w:szCs w:val="16"/>
              </w:rPr>
            </w:pPr>
            <w:r>
              <w:rPr>
                <w:rFonts w:ascii="Times New Roman" w:hAnsi="Times New Roman" w:eastAsia="等线" w:cs="Times New Roman"/>
                <w:sz w:val="16"/>
                <w:szCs w:val="16"/>
              </w:rPr>
              <w:t>Wide Beams</w:t>
            </w:r>
          </w:p>
        </w:tc>
        <w:tc>
          <w:tcPr>
            <w:tcW w:w="1328" w:type="dxa"/>
          </w:tcPr>
          <w:p w14:paraId="14022081">
            <w:pPr>
              <w:jc w:val="left"/>
              <w:rPr>
                <w:rFonts w:ascii="Times New Roman" w:hAnsi="Times New Roman" w:eastAsia="等线" w:cs="Times New Roman"/>
                <w:sz w:val="16"/>
                <w:szCs w:val="16"/>
              </w:rPr>
            </w:pPr>
            <w:r>
              <w:rPr>
                <w:rFonts w:ascii="Times New Roman" w:hAnsi="Times New Roman" w:eastAsia="等线" w:cs="Times New Roman"/>
                <w:sz w:val="16"/>
                <w:szCs w:val="16"/>
              </w:rPr>
              <w:t>Fixed Continental</w:t>
            </w:r>
          </w:p>
        </w:tc>
        <w:tc>
          <w:tcPr>
            <w:tcW w:w="1343" w:type="dxa"/>
          </w:tcPr>
          <w:p w14:paraId="30A5BA06">
            <w:pPr>
              <w:jc w:val="left"/>
              <w:rPr>
                <w:rFonts w:ascii="Times New Roman" w:hAnsi="Times New Roman" w:eastAsia="等线" w:cs="Times New Roman"/>
                <w:sz w:val="16"/>
                <w:szCs w:val="16"/>
              </w:rPr>
            </w:pPr>
            <w:r>
              <w:rPr>
                <w:rFonts w:ascii="Times New Roman" w:hAnsi="Times New Roman" w:eastAsia="等线" w:cs="Times New Roman"/>
                <w:sz w:val="16"/>
                <w:szCs w:val="16"/>
              </w:rPr>
              <w:t>Sectorized (120°)</w:t>
            </w:r>
          </w:p>
        </w:tc>
      </w:tr>
      <w:bookmarkEnd w:id="2"/>
      <w:tr w14:paraId="3C2B4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604" w:type="dxa"/>
            <w:shd w:val="clear" w:color="auto" w:fill="auto"/>
          </w:tcPr>
          <w:p w14:paraId="4A009261">
            <w:pPr>
              <w:jc w:val="left"/>
              <w:rPr>
                <w:rFonts w:ascii="Times New Roman" w:hAnsi="Times New Roman" w:eastAsia="等线" w:cs="Times New Roman"/>
                <w:b/>
                <w:sz w:val="16"/>
                <w:szCs w:val="16"/>
              </w:rPr>
            </w:pPr>
            <w:r>
              <w:rPr>
                <w:rFonts w:ascii="Times New Roman" w:hAnsi="Times New Roman" w:eastAsia="等线" w:cs="Times New Roman"/>
                <w:b/>
                <w:bCs/>
                <w:sz w:val="16"/>
                <w:szCs w:val="16"/>
              </w:rPr>
              <w:t>Propagation Delay (RTD)</w:t>
            </w:r>
          </w:p>
        </w:tc>
        <w:tc>
          <w:tcPr>
            <w:tcW w:w="1097" w:type="dxa"/>
          </w:tcPr>
          <w:p w14:paraId="12FC6D28">
            <w:pPr>
              <w:jc w:val="left"/>
              <w:rPr>
                <w:rFonts w:ascii="Times New Roman" w:hAnsi="Times New Roman" w:eastAsia="等线" w:cs="Times New Roman"/>
                <w:sz w:val="16"/>
                <w:szCs w:val="16"/>
              </w:rPr>
            </w:pPr>
            <w:r>
              <w:rPr>
                <w:rFonts w:ascii="Times New Roman" w:hAnsi="Times New Roman" w:eastAsia="等线" w:cs="Times New Roman"/>
                <w:sz w:val="16"/>
                <w:szCs w:val="16"/>
              </w:rPr>
              <w:t>0.3–3 ms</w:t>
            </w:r>
          </w:p>
        </w:tc>
        <w:tc>
          <w:tcPr>
            <w:tcW w:w="1388" w:type="dxa"/>
          </w:tcPr>
          <w:p w14:paraId="78F449CE">
            <w:pPr>
              <w:jc w:val="left"/>
              <w:rPr>
                <w:rFonts w:ascii="Times New Roman" w:hAnsi="Times New Roman" w:eastAsia="等线" w:cs="Times New Roman"/>
                <w:sz w:val="16"/>
                <w:szCs w:val="16"/>
              </w:rPr>
            </w:pPr>
            <w:r>
              <w:rPr>
                <w:rFonts w:ascii="Times New Roman" w:hAnsi="Times New Roman" w:eastAsia="等线" w:cs="Times New Roman"/>
                <w:sz w:val="16"/>
                <w:szCs w:val="16"/>
              </w:rPr>
              <w:t>0.6–8 ms</w:t>
            </w:r>
          </w:p>
        </w:tc>
        <w:tc>
          <w:tcPr>
            <w:tcW w:w="1302" w:type="dxa"/>
          </w:tcPr>
          <w:p w14:paraId="4EC05F78">
            <w:pPr>
              <w:jc w:val="left"/>
              <w:rPr>
                <w:rFonts w:ascii="Times New Roman" w:hAnsi="Times New Roman" w:eastAsia="等线" w:cs="Times New Roman"/>
                <w:sz w:val="16"/>
                <w:szCs w:val="16"/>
              </w:rPr>
            </w:pPr>
            <w:r>
              <w:rPr>
                <w:rFonts w:ascii="Times New Roman" w:hAnsi="Times New Roman" w:eastAsia="等线" w:cs="Times New Roman"/>
                <w:sz w:val="16"/>
                <w:szCs w:val="16"/>
              </w:rPr>
              <w:t>3–15 ms</w:t>
            </w:r>
          </w:p>
        </w:tc>
        <w:tc>
          <w:tcPr>
            <w:tcW w:w="1238" w:type="dxa"/>
          </w:tcPr>
          <w:p w14:paraId="451B4D58">
            <w:pPr>
              <w:jc w:val="left"/>
              <w:rPr>
                <w:rFonts w:ascii="Times New Roman" w:hAnsi="Times New Roman" w:eastAsia="等线" w:cs="Times New Roman"/>
                <w:sz w:val="16"/>
                <w:szCs w:val="16"/>
              </w:rPr>
            </w:pPr>
            <w:r>
              <w:rPr>
                <w:rFonts w:ascii="Times New Roman" w:hAnsi="Times New Roman" w:eastAsia="等线" w:cs="Times New Roman"/>
                <w:sz w:val="16"/>
                <w:szCs w:val="16"/>
              </w:rPr>
              <w:t>50–130 ms</w:t>
            </w:r>
          </w:p>
        </w:tc>
        <w:tc>
          <w:tcPr>
            <w:tcW w:w="1328" w:type="dxa"/>
          </w:tcPr>
          <w:p w14:paraId="4372FF23">
            <w:pPr>
              <w:jc w:val="left"/>
              <w:rPr>
                <w:rFonts w:ascii="Times New Roman" w:hAnsi="Times New Roman" w:eastAsia="等线" w:cs="Times New Roman"/>
                <w:sz w:val="16"/>
                <w:szCs w:val="16"/>
              </w:rPr>
            </w:pPr>
            <w:r>
              <w:rPr>
                <w:rFonts w:ascii="Times New Roman" w:hAnsi="Times New Roman" w:eastAsia="等线" w:cs="Times New Roman"/>
                <w:sz w:val="16"/>
                <w:szCs w:val="16"/>
              </w:rPr>
              <w:t>250–280 ms</w:t>
            </w:r>
          </w:p>
        </w:tc>
        <w:tc>
          <w:tcPr>
            <w:tcW w:w="1343" w:type="dxa"/>
          </w:tcPr>
          <w:p w14:paraId="2DB2B736">
            <w:pPr>
              <w:jc w:val="left"/>
              <w:rPr>
                <w:rFonts w:ascii="Times New Roman" w:hAnsi="Times New Roman" w:eastAsia="等线" w:cs="Times New Roman"/>
                <w:sz w:val="16"/>
                <w:szCs w:val="16"/>
              </w:rPr>
            </w:pPr>
            <w:r>
              <w:rPr>
                <w:rFonts w:ascii="Times New Roman" w:hAnsi="Times New Roman" w:eastAsia="等线" w:cs="Times New Roman"/>
                <w:sz w:val="16"/>
                <w:szCs w:val="16"/>
              </w:rPr>
              <w:t>0.1–1 ms</w:t>
            </w:r>
          </w:p>
        </w:tc>
      </w:tr>
      <w:tr w14:paraId="558DE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1604" w:type="dxa"/>
            <w:shd w:val="clear" w:color="auto" w:fill="auto"/>
          </w:tcPr>
          <w:p w14:paraId="649FA7B5">
            <w:pPr>
              <w:jc w:val="left"/>
              <w:rPr>
                <w:rFonts w:ascii="Times New Roman" w:hAnsi="Times New Roman" w:eastAsia="等线" w:cs="Times New Roman"/>
                <w:b/>
                <w:sz w:val="16"/>
                <w:szCs w:val="16"/>
              </w:rPr>
            </w:pPr>
            <w:r>
              <w:rPr>
                <w:rFonts w:ascii="Times New Roman" w:hAnsi="Times New Roman" w:eastAsia="等线" w:cs="Times New Roman"/>
                <w:b/>
                <w:bCs/>
                <w:sz w:val="16"/>
                <w:szCs w:val="16"/>
              </w:rPr>
              <w:t>Doppler Shift</w:t>
            </w:r>
          </w:p>
        </w:tc>
        <w:tc>
          <w:tcPr>
            <w:tcW w:w="1097" w:type="dxa"/>
          </w:tcPr>
          <w:p w14:paraId="5BF1A99D">
            <w:pPr>
              <w:jc w:val="left"/>
              <w:rPr>
                <w:rFonts w:ascii="Times New Roman" w:hAnsi="Times New Roman" w:eastAsia="等线" w:cs="Times New Roman"/>
                <w:sz w:val="16"/>
                <w:szCs w:val="16"/>
              </w:rPr>
            </w:pPr>
            <w:r>
              <w:rPr>
                <w:rFonts w:ascii="Times New Roman" w:hAnsi="Times New Roman" w:eastAsia="等线" w:cs="Times New Roman"/>
                <w:sz w:val="16"/>
                <w:szCs w:val="16"/>
              </w:rPr>
              <w:t>±1 kHz</w:t>
            </w:r>
          </w:p>
        </w:tc>
        <w:tc>
          <w:tcPr>
            <w:tcW w:w="1388" w:type="dxa"/>
          </w:tcPr>
          <w:p w14:paraId="6104C439">
            <w:pPr>
              <w:jc w:val="left"/>
              <w:rPr>
                <w:rFonts w:ascii="Times New Roman" w:hAnsi="Times New Roman" w:eastAsia="等线" w:cs="Times New Roman"/>
                <w:sz w:val="16"/>
                <w:szCs w:val="16"/>
              </w:rPr>
            </w:pPr>
            <w:r>
              <w:rPr>
                <w:rFonts w:ascii="Times New Roman" w:hAnsi="Times New Roman" w:eastAsia="等线" w:cs="Times New Roman"/>
                <w:sz w:val="16"/>
                <w:szCs w:val="16"/>
              </w:rPr>
              <w:t>±5 kHz</w:t>
            </w:r>
          </w:p>
        </w:tc>
        <w:tc>
          <w:tcPr>
            <w:tcW w:w="1302" w:type="dxa"/>
          </w:tcPr>
          <w:p w14:paraId="0EE8B6E5">
            <w:pPr>
              <w:jc w:val="left"/>
              <w:rPr>
                <w:rFonts w:ascii="Times New Roman" w:hAnsi="Times New Roman" w:eastAsia="等线" w:cs="Times New Roman"/>
                <w:sz w:val="16"/>
                <w:szCs w:val="16"/>
              </w:rPr>
            </w:pPr>
            <w:r>
              <w:rPr>
                <w:rFonts w:ascii="Times New Roman" w:hAnsi="Times New Roman" w:eastAsia="等线" w:cs="Times New Roman"/>
                <w:sz w:val="16"/>
                <w:szCs w:val="16"/>
              </w:rPr>
              <w:t>±100 kHz</w:t>
            </w:r>
          </w:p>
        </w:tc>
        <w:tc>
          <w:tcPr>
            <w:tcW w:w="1238" w:type="dxa"/>
          </w:tcPr>
          <w:p w14:paraId="10BD3028">
            <w:pPr>
              <w:jc w:val="left"/>
              <w:rPr>
                <w:rFonts w:ascii="Times New Roman" w:hAnsi="Times New Roman" w:eastAsia="等线" w:cs="Times New Roman"/>
                <w:sz w:val="16"/>
                <w:szCs w:val="16"/>
              </w:rPr>
            </w:pPr>
            <w:r>
              <w:rPr>
                <w:rFonts w:ascii="Times New Roman" w:hAnsi="Times New Roman" w:eastAsia="等线" w:cs="Times New Roman"/>
                <w:sz w:val="16"/>
                <w:szCs w:val="16"/>
              </w:rPr>
              <w:t>±20 kHz</w:t>
            </w:r>
          </w:p>
        </w:tc>
        <w:tc>
          <w:tcPr>
            <w:tcW w:w="1328" w:type="dxa"/>
          </w:tcPr>
          <w:p w14:paraId="44ED3484">
            <w:pPr>
              <w:jc w:val="left"/>
              <w:rPr>
                <w:rFonts w:ascii="Times New Roman" w:hAnsi="Times New Roman" w:eastAsia="等线" w:cs="Times New Roman"/>
                <w:sz w:val="16"/>
                <w:szCs w:val="16"/>
              </w:rPr>
            </w:pPr>
            <w:r>
              <w:rPr>
                <w:rFonts w:ascii="Times New Roman" w:hAnsi="Times New Roman" w:eastAsia="等线" w:cs="Times New Roman"/>
                <w:sz w:val="16"/>
                <w:szCs w:val="16"/>
              </w:rPr>
              <w:t>±1 kHz</w:t>
            </w:r>
          </w:p>
        </w:tc>
        <w:tc>
          <w:tcPr>
            <w:tcW w:w="1343" w:type="dxa"/>
          </w:tcPr>
          <w:p w14:paraId="5B047874">
            <w:pPr>
              <w:jc w:val="left"/>
              <w:rPr>
                <w:rFonts w:ascii="Times New Roman" w:hAnsi="Times New Roman" w:eastAsia="等线" w:cs="Times New Roman"/>
                <w:sz w:val="16"/>
                <w:szCs w:val="16"/>
              </w:rPr>
            </w:pPr>
            <w:r>
              <w:rPr>
                <w:rFonts w:ascii="Times New Roman" w:hAnsi="Times New Roman" w:eastAsia="等线" w:cs="Times New Roman"/>
                <w:sz w:val="16"/>
                <w:szCs w:val="16"/>
              </w:rPr>
              <w:t>±500 Hz</w:t>
            </w:r>
          </w:p>
        </w:tc>
      </w:tr>
      <w:tr w14:paraId="2AEEC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604" w:type="dxa"/>
            <w:shd w:val="clear" w:color="auto" w:fill="auto"/>
          </w:tcPr>
          <w:p w14:paraId="3FA7D7B9">
            <w:pPr>
              <w:jc w:val="left"/>
              <w:rPr>
                <w:rFonts w:ascii="Times New Roman" w:hAnsi="Times New Roman" w:eastAsia="等线" w:cs="Times New Roman"/>
                <w:b/>
                <w:sz w:val="16"/>
                <w:szCs w:val="16"/>
              </w:rPr>
            </w:pPr>
            <w:r>
              <w:rPr>
                <w:rFonts w:ascii="Times New Roman" w:hAnsi="Times New Roman" w:eastAsia="等线" w:cs="Times New Roman"/>
                <w:b/>
                <w:bCs/>
                <w:sz w:val="16"/>
                <w:szCs w:val="16"/>
              </w:rPr>
              <w:t>Cell Handover Frequency</w:t>
            </w:r>
          </w:p>
        </w:tc>
        <w:tc>
          <w:tcPr>
            <w:tcW w:w="1097" w:type="dxa"/>
          </w:tcPr>
          <w:p w14:paraId="250BAC79">
            <w:pPr>
              <w:jc w:val="left"/>
              <w:rPr>
                <w:rFonts w:ascii="Times New Roman" w:hAnsi="Times New Roman" w:eastAsia="等线" w:cs="Times New Roman"/>
                <w:sz w:val="16"/>
                <w:szCs w:val="16"/>
              </w:rPr>
            </w:pPr>
            <w:r>
              <w:rPr>
                <w:rFonts w:ascii="Times New Roman" w:hAnsi="Times New Roman" w:eastAsia="等线" w:cs="Times New Roman"/>
                <w:sz w:val="16"/>
                <w:szCs w:val="16"/>
              </w:rPr>
              <w:t>Minutes (~0.1–5 km)</w:t>
            </w:r>
          </w:p>
        </w:tc>
        <w:tc>
          <w:tcPr>
            <w:tcW w:w="1388" w:type="dxa"/>
          </w:tcPr>
          <w:p w14:paraId="4BE476BF">
            <w:pPr>
              <w:jc w:val="left"/>
              <w:rPr>
                <w:rFonts w:ascii="Times New Roman" w:hAnsi="Times New Roman" w:eastAsia="等线" w:cs="Times New Roman"/>
                <w:sz w:val="16"/>
                <w:szCs w:val="16"/>
              </w:rPr>
            </w:pPr>
            <w:r>
              <w:rPr>
                <w:rFonts w:ascii="Times New Roman" w:hAnsi="Times New Roman" w:eastAsia="等线" w:cs="Times New Roman"/>
                <w:sz w:val="16"/>
                <w:szCs w:val="16"/>
              </w:rPr>
              <w:t>Minutes–Hours (~30 km)</w:t>
            </w:r>
          </w:p>
        </w:tc>
        <w:tc>
          <w:tcPr>
            <w:tcW w:w="1302" w:type="dxa"/>
          </w:tcPr>
          <w:p w14:paraId="16AC6098">
            <w:pPr>
              <w:jc w:val="left"/>
              <w:rPr>
                <w:rFonts w:ascii="Times New Roman" w:hAnsi="Times New Roman" w:eastAsia="等线" w:cs="Times New Roman"/>
                <w:sz w:val="16"/>
                <w:szCs w:val="16"/>
              </w:rPr>
            </w:pPr>
            <w:r>
              <w:rPr>
                <w:rFonts w:ascii="Times New Roman" w:hAnsi="Times New Roman" w:eastAsia="等线" w:cs="Times New Roman"/>
                <w:sz w:val="16"/>
                <w:szCs w:val="16"/>
              </w:rPr>
              <w:t>2–10 Seconds (Orbital)</w:t>
            </w:r>
          </w:p>
        </w:tc>
        <w:tc>
          <w:tcPr>
            <w:tcW w:w="1238" w:type="dxa"/>
          </w:tcPr>
          <w:p w14:paraId="6E026D93">
            <w:pPr>
              <w:jc w:val="left"/>
              <w:rPr>
                <w:rFonts w:ascii="Times New Roman" w:hAnsi="Times New Roman" w:eastAsia="等线" w:cs="Times New Roman"/>
                <w:sz w:val="16"/>
                <w:szCs w:val="16"/>
              </w:rPr>
            </w:pPr>
            <w:r>
              <w:rPr>
                <w:rFonts w:ascii="Times New Roman" w:hAnsi="Times New Roman" w:eastAsia="等线" w:cs="Times New Roman"/>
                <w:sz w:val="16"/>
                <w:szCs w:val="16"/>
              </w:rPr>
              <w:t>5–60 min (~3.9 km/s)</w:t>
            </w:r>
          </w:p>
        </w:tc>
        <w:tc>
          <w:tcPr>
            <w:tcW w:w="1328" w:type="dxa"/>
          </w:tcPr>
          <w:p w14:paraId="6E328FBE">
            <w:pPr>
              <w:jc w:val="left"/>
              <w:rPr>
                <w:rFonts w:ascii="Times New Roman" w:hAnsi="Times New Roman" w:eastAsia="等线" w:cs="Times New Roman"/>
                <w:sz w:val="16"/>
                <w:szCs w:val="16"/>
              </w:rPr>
            </w:pPr>
            <w:r>
              <w:rPr>
                <w:rFonts w:ascii="Times New Roman" w:hAnsi="Times New Roman" w:eastAsia="等线" w:cs="Times New Roman"/>
                <w:sz w:val="16"/>
                <w:szCs w:val="16"/>
              </w:rPr>
              <w:t>None (Geostationary)</w:t>
            </w:r>
          </w:p>
        </w:tc>
        <w:tc>
          <w:tcPr>
            <w:tcW w:w="1343" w:type="dxa"/>
          </w:tcPr>
          <w:p w14:paraId="24C1693B">
            <w:pPr>
              <w:jc w:val="left"/>
              <w:rPr>
                <w:rFonts w:ascii="Times New Roman" w:hAnsi="Times New Roman" w:eastAsia="等线" w:cs="Times New Roman"/>
                <w:sz w:val="16"/>
                <w:szCs w:val="16"/>
              </w:rPr>
            </w:pPr>
            <w:r>
              <w:rPr>
                <w:rFonts w:ascii="Times New Roman" w:hAnsi="Times New Roman" w:eastAsia="等线" w:cs="Times New Roman"/>
                <w:sz w:val="16"/>
                <w:szCs w:val="16"/>
              </w:rPr>
              <w:t>User mobility only</w:t>
            </w:r>
          </w:p>
        </w:tc>
      </w:tr>
      <w:tr w14:paraId="54104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604" w:type="dxa"/>
            <w:shd w:val="clear" w:color="auto" w:fill="auto"/>
          </w:tcPr>
          <w:p w14:paraId="24E1ACA9">
            <w:pPr>
              <w:jc w:val="left"/>
              <w:rPr>
                <w:rFonts w:ascii="Times New Roman" w:hAnsi="Times New Roman" w:eastAsia="等线" w:cs="Times New Roman"/>
                <w:b/>
                <w:sz w:val="16"/>
                <w:szCs w:val="16"/>
              </w:rPr>
            </w:pPr>
            <w:r>
              <w:rPr>
                <w:rFonts w:ascii="Times New Roman" w:hAnsi="Times New Roman" w:eastAsia="等线" w:cs="Times New Roman"/>
                <w:b/>
                <w:bCs/>
                <w:sz w:val="16"/>
                <w:szCs w:val="16"/>
              </w:rPr>
              <w:t>Atmospheric Loss</w:t>
            </w:r>
          </w:p>
        </w:tc>
        <w:tc>
          <w:tcPr>
            <w:tcW w:w="1097" w:type="dxa"/>
          </w:tcPr>
          <w:p w14:paraId="00A98A84">
            <w:pPr>
              <w:jc w:val="left"/>
              <w:rPr>
                <w:rFonts w:ascii="Times New Roman" w:hAnsi="Times New Roman" w:eastAsia="等线" w:cs="Times New Roman"/>
                <w:sz w:val="16"/>
                <w:szCs w:val="16"/>
              </w:rPr>
            </w:pPr>
            <w:r>
              <w:rPr>
                <w:rFonts w:ascii="Times New Roman" w:hAnsi="Times New Roman" w:eastAsia="等线" w:cs="Times New Roman"/>
                <w:sz w:val="16"/>
                <w:szCs w:val="16"/>
              </w:rPr>
              <w:t>Tropospheric</w:t>
            </w:r>
          </w:p>
        </w:tc>
        <w:tc>
          <w:tcPr>
            <w:tcW w:w="1388" w:type="dxa"/>
          </w:tcPr>
          <w:p w14:paraId="0333A97F">
            <w:pPr>
              <w:jc w:val="left"/>
              <w:rPr>
                <w:rFonts w:ascii="Times New Roman" w:hAnsi="Times New Roman" w:eastAsia="等线" w:cs="Times New Roman"/>
                <w:sz w:val="16"/>
                <w:szCs w:val="16"/>
              </w:rPr>
            </w:pPr>
            <w:r>
              <w:rPr>
                <w:rFonts w:ascii="Times New Roman" w:hAnsi="Times New Roman" w:eastAsia="等线" w:cs="Times New Roman"/>
                <w:sz w:val="16"/>
                <w:szCs w:val="16"/>
              </w:rPr>
              <w:t>Minimal</w:t>
            </w:r>
          </w:p>
        </w:tc>
        <w:tc>
          <w:tcPr>
            <w:tcW w:w="1302" w:type="dxa"/>
          </w:tcPr>
          <w:p w14:paraId="6FFA21CF">
            <w:pPr>
              <w:jc w:val="left"/>
              <w:rPr>
                <w:rFonts w:ascii="Times New Roman" w:hAnsi="Times New Roman" w:eastAsia="等线" w:cs="Times New Roman"/>
                <w:sz w:val="16"/>
                <w:szCs w:val="16"/>
              </w:rPr>
            </w:pPr>
            <w:r>
              <w:rPr>
                <w:rFonts w:ascii="Times New Roman" w:hAnsi="Times New Roman" w:eastAsia="等线" w:cs="Times New Roman"/>
                <w:sz w:val="16"/>
                <w:szCs w:val="16"/>
              </w:rPr>
              <w:t>Ionospheric (&lt;6 GHz)</w:t>
            </w:r>
          </w:p>
        </w:tc>
        <w:tc>
          <w:tcPr>
            <w:tcW w:w="1238" w:type="dxa"/>
          </w:tcPr>
          <w:p w14:paraId="69F00222">
            <w:pPr>
              <w:jc w:val="left"/>
              <w:rPr>
                <w:rFonts w:ascii="Times New Roman" w:hAnsi="Times New Roman" w:eastAsia="等线" w:cs="Times New Roman"/>
                <w:sz w:val="16"/>
                <w:szCs w:val="16"/>
              </w:rPr>
            </w:pPr>
            <w:r>
              <w:rPr>
                <w:rFonts w:ascii="Times New Roman" w:hAnsi="Times New Roman" w:eastAsia="等线" w:cs="Times New Roman"/>
                <w:sz w:val="16"/>
                <w:szCs w:val="16"/>
              </w:rPr>
              <w:t>Ionospheric</w:t>
            </w:r>
          </w:p>
        </w:tc>
        <w:tc>
          <w:tcPr>
            <w:tcW w:w="1328" w:type="dxa"/>
          </w:tcPr>
          <w:p w14:paraId="378ED4A7">
            <w:pPr>
              <w:jc w:val="left"/>
              <w:rPr>
                <w:rFonts w:ascii="Times New Roman" w:hAnsi="Times New Roman" w:eastAsia="等线" w:cs="Times New Roman"/>
                <w:sz w:val="16"/>
                <w:szCs w:val="16"/>
              </w:rPr>
            </w:pPr>
            <w:r>
              <w:rPr>
                <w:rFonts w:ascii="Times New Roman" w:hAnsi="Times New Roman" w:eastAsia="等线" w:cs="Times New Roman"/>
                <w:sz w:val="16"/>
                <w:szCs w:val="16"/>
              </w:rPr>
              <w:t>Rain fade (&gt;10 GHz)</w:t>
            </w:r>
          </w:p>
        </w:tc>
        <w:tc>
          <w:tcPr>
            <w:tcW w:w="1343" w:type="dxa"/>
          </w:tcPr>
          <w:p w14:paraId="7D80DFA2">
            <w:pPr>
              <w:jc w:val="left"/>
              <w:rPr>
                <w:rFonts w:ascii="Times New Roman" w:hAnsi="Times New Roman" w:eastAsia="等线" w:cs="Times New Roman"/>
                <w:sz w:val="16"/>
                <w:szCs w:val="16"/>
              </w:rPr>
            </w:pPr>
            <w:r>
              <w:rPr>
                <w:rFonts w:ascii="Times New Roman" w:hAnsi="Times New Roman" w:eastAsia="等线" w:cs="Times New Roman"/>
                <w:sz w:val="16"/>
                <w:szCs w:val="16"/>
              </w:rPr>
              <w:t>Minimal (LOS/NLOS)</w:t>
            </w:r>
          </w:p>
        </w:tc>
      </w:tr>
      <w:tr w14:paraId="5311D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604" w:type="dxa"/>
            <w:shd w:val="clear" w:color="auto" w:fill="auto"/>
          </w:tcPr>
          <w:p w14:paraId="0FD90E21">
            <w:pPr>
              <w:jc w:val="left"/>
              <w:rPr>
                <w:rFonts w:ascii="Times New Roman" w:hAnsi="Times New Roman" w:eastAsia="等线" w:cs="Times New Roman"/>
                <w:b/>
                <w:sz w:val="16"/>
                <w:szCs w:val="16"/>
              </w:rPr>
            </w:pPr>
            <w:r>
              <w:rPr>
                <w:rFonts w:ascii="Times New Roman" w:hAnsi="Times New Roman" w:eastAsia="等线" w:cs="Times New Roman"/>
                <w:b/>
                <w:bCs/>
                <w:sz w:val="16"/>
                <w:szCs w:val="16"/>
              </w:rPr>
              <w:t>Bit Error Rate (BER)</w:t>
            </w:r>
          </w:p>
        </w:tc>
        <w:tc>
          <w:tcPr>
            <w:tcW w:w="1097" w:type="dxa"/>
          </w:tcPr>
          <w:p w14:paraId="14FFC4D5">
            <w:pPr>
              <w:jc w:val="left"/>
              <w:rPr>
                <w:rFonts w:ascii="Times New Roman" w:hAnsi="Times New Roman" w:eastAsia="等线" w:cs="Times New Roman"/>
                <w:sz w:val="16"/>
                <w:szCs w:val="16"/>
              </w:rPr>
            </w:pPr>
            <w:r>
              <w:rPr>
                <w:rFonts w:ascii="Times New Roman" w:hAnsi="Times New Roman" w:eastAsia="等线" w:cs="Times New Roman"/>
                <w:bCs/>
                <w:sz w:val="16"/>
                <w:szCs w:val="16"/>
              </w:rPr>
              <w:t>10⁻⁴ – 10⁻⁶</w:t>
            </w:r>
          </w:p>
        </w:tc>
        <w:tc>
          <w:tcPr>
            <w:tcW w:w="1388" w:type="dxa"/>
          </w:tcPr>
          <w:p w14:paraId="332EE5BD">
            <w:pPr>
              <w:jc w:val="left"/>
              <w:rPr>
                <w:rFonts w:ascii="Times New Roman" w:hAnsi="Times New Roman" w:eastAsia="等线" w:cs="Times New Roman"/>
                <w:sz w:val="16"/>
                <w:szCs w:val="16"/>
              </w:rPr>
            </w:pPr>
            <w:r>
              <w:rPr>
                <w:rFonts w:ascii="Times New Roman" w:hAnsi="Times New Roman" w:eastAsia="等线" w:cs="Times New Roman"/>
                <w:bCs/>
                <w:sz w:val="16"/>
                <w:szCs w:val="16"/>
              </w:rPr>
              <w:t>10⁻⁵ – 10⁻⁷</w:t>
            </w:r>
          </w:p>
        </w:tc>
        <w:tc>
          <w:tcPr>
            <w:tcW w:w="1302" w:type="dxa"/>
          </w:tcPr>
          <w:p w14:paraId="29304CA4">
            <w:pPr>
              <w:jc w:val="left"/>
              <w:rPr>
                <w:rFonts w:ascii="Times New Roman" w:hAnsi="Times New Roman" w:eastAsia="等线" w:cs="Times New Roman"/>
                <w:sz w:val="16"/>
                <w:szCs w:val="16"/>
              </w:rPr>
            </w:pPr>
            <w:r>
              <w:rPr>
                <w:rFonts w:ascii="Times New Roman" w:hAnsi="Times New Roman" w:eastAsia="等线" w:cs="Times New Roman"/>
                <w:bCs/>
                <w:sz w:val="16"/>
                <w:szCs w:val="16"/>
              </w:rPr>
              <w:t>10⁻⁴ – 10⁻⁶</w:t>
            </w:r>
          </w:p>
        </w:tc>
        <w:tc>
          <w:tcPr>
            <w:tcW w:w="1238" w:type="dxa"/>
          </w:tcPr>
          <w:p w14:paraId="3CF90645">
            <w:pPr>
              <w:jc w:val="left"/>
              <w:rPr>
                <w:rFonts w:ascii="Times New Roman" w:hAnsi="Times New Roman" w:eastAsia="等线" w:cs="Times New Roman"/>
                <w:sz w:val="16"/>
                <w:szCs w:val="16"/>
              </w:rPr>
            </w:pPr>
            <w:r>
              <w:rPr>
                <w:rFonts w:ascii="Times New Roman" w:hAnsi="Times New Roman" w:eastAsia="等线" w:cs="Times New Roman"/>
                <w:bCs/>
                <w:sz w:val="16"/>
                <w:szCs w:val="16"/>
              </w:rPr>
              <w:t>10⁻⁵ – 10⁻⁷</w:t>
            </w:r>
          </w:p>
        </w:tc>
        <w:tc>
          <w:tcPr>
            <w:tcW w:w="1328" w:type="dxa"/>
          </w:tcPr>
          <w:p w14:paraId="387264FA">
            <w:pPr>
              <w:jc w:val="left"/>
              <w:rPr>
                <w:rFonts w:ascii="Times New Roman" w:hAnsi="Times New Roman" w:eastAsia="等线" w:cs="Times New Roman"/>
                <w:sz w:val="16"/>
                <w:szCs w:val="16"/>
              </w:rPr>
            </w:pPr>
            <w:r>
              <w:rPr>
                <w:rFonts w:ascii="Times New Roman" w:hAnsi="Times New Roman" w:eastAsia="等线" w:cs="Times New Roman"/>
                <w:bCs/>
                <w:sz w:val="16"/>
                <w:szCs w:val="16"/>
              </w:rPr>
              <w:t>10⁻³ – 10⁻⁵</w:t>
            </w:r>
          </w:p>
        </w:tc>
        <w:tc>
          <w:tcPr>
            <w:tcW w:w="1343" w:type="dxa"/>
          </w:tcPr>
          <w:p w14:paraId="1798917B">
            <w:pPr>
              <w:jc w:val="left"/>
              <w:rPr>
                <w:rFonts w:ascii="Times New Roman" w:hAnsi="Times New Roman" w:eastAsia="等线" w:cs="Times New Roman"/>
                <w:sz w:val="16"/>
                <w:szCs w:val="16"/>
              </w:rPr>
            </w:pPr>
            <w:r>
              <w:rPr>
                <w:rFonts w:ascii="Times New Roman" w:hAnsi="Times New Roman" w:eastAsia="等线" w:cs="Times New Roman"/>
                <w:bCs/>
                <w:sz w:val="16"/>
                <w:szCs w:val="16"/>
              </w:rPr>
              <w:t>10⁻⁶ – 10⁻⁹</w:t>
            </w:r>
          </w:p>
        </w:tc>
      </w:tr>
    </w:tbl>
    <w:p w14:paraId="6EEBB68E">
      <w:pPr>
        <w:pStyle w:val="59"/>
        <w:keepNext w:val="0"/>
        <w:keepLines w:val="0"/>
        <w:pageBreakBefore w:val="0"/>
        <w:widowControl/>
        <w:shd w:val="clear" w:color="auto" w:fill="FFFFFF"/>
        <w:kinsoku/>
        <w:wordWrap/>
        <w:overflowPunct/>
        <w:topLinePunct w:val="0"/>
        <w:autoSpaceDE/>
        <w:autoSpaceDN/>
        <w:bidi w:val="0"/>
        <w:adjustRightInd/>
        <w:snapToGrid/>
        <w:spacing w:before="120" w:beforeAutospacing="0" w:after="0" w:afterAutospacing="0"/>
        <w:jc w:val="center"/>
        <w:textAlignment w:val="auto"/>
        <w:rPr>
          <w:color w:val="0F1115"/>
          <w:sz w:val="22"/>
          <w:szCs w:val="22"/>
          <w:shd w:val="clear" w:color="auto" w:fill="FFFFFF"/>
        </w:rPr>
      </w:pPr>
      <w:r>
        <w:rPr>
          <w:color w:val="0F1115"/>
          <w:shd w:val="clear" w:color="auto" w:fill="FFFFFF"/>
        </w:rPr>
        <w:t xml:space="preserve"> </w:t>
      </w:r>
      <w:r>
        <w:rPr>
          <w:b/>
          <w:color w:val="0F1115"/>
          <w:sz w:val="22"/>
          <w:szCs w:val="22"/>
          <w:shd w:val="clear" w:color="auto" w:fill="FFFFFF"/>
        </w:rPr>
        <w:t>Table 1</w:t>
      </w:r>
      <w:r>
        <w:rPr>
          <w:color w:val="0F1115"/>
          <w:sz w:val="22"/>
          <w:szCs w:val="22"/>
          <w:shd w:val="clear" w:color="auto" w:fill="FFFFFF"/>
        </w:rPr>
        <w:t>: TN/NTN Multi-platform Parameters Variations</w:t>
      </w:r>
    </w:p>
    <w:p w14:paraId="63C746FE">
      <w:pPr>
        <w:pStyle w:val="4"/>
        <w:spacing w:before="180" w:after="120" w:line="240" w:lineRule="auto"/>
        <w:ind w:left="901" w:hanging="901"/>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Unified Radio Protocol Signalling</w:t>
      </w:r>
    </w:p>
    <w:p w14:paraId="6EFB5D34">
      <w:pPr>
        <w:pStyle w:val="59"/>
        <w:shd w:val="clear" w:color="auto" w:fill="FFFFFF"/>
        <w:spacing w:before="0" w:beforeAutospacing="0" w:after="120" w:afterAutospacing="0"/>
        <w:jc w:val="both"/>
        <w:rPr>
          <w:sz w:val="21"/>
          <w:szCs w:val="21"/>
        </w:rPr>
      </w:pPr>
      <w:r>
        <w:rPr>
          <w:sz w:val="22"/>
          <w:szCs w:val="22"/>
        </w:rPr>
        <w:t xml:space="preserve">To support satellite access in 5G, the RRC layer introduces extended timers (T300, T304) for connection handling </w:t>
      </w:r>
      <w:r>
        <w:rPr>
          <w:sz w:val="21"/>
          <w:szCs w:val="21"/>
        </w:rPr>
        <w:t>and broadcasts critical parameters via SIB19 (NR) and SIB31 (LTE/NB-IoT), including satellite ephemeris data for real-time positioning, Doppler pre-compensation, and timing adjustments to mitigate propagation delays. The MAC layer optimizes scheduling with K-offset adjustments and uplink synchronization mechanisms, while expanding HARQ processes (up to 32 slots) to accommodate long round-trip times. It also reduces active HARQ processes (from 16 to 4) to prevent buffer overflow, extends Timing Advance (up to 0.86 ms), and modifies RACH procedures with longer response windows (up to 40.96 ms). The RLC layer increases the ARQ window size to prevent stalling and adjusts polling frequency, while the PDCP layer extends reordering timers (t-Reordering) and expands duplicate detection windows to handle out-of-order packets from variable satellite delays.</w:t>
      </w:r>
    </w:p>
    <w:p w14:paraId="3C33996A">
      <w:pPr>
        <w:pStyle w:val="59"/>
        <w:shd w:val="clear" w:color="auto" w:fill="FFFFFF"/>
        <w:spacing w:before="0" w:beforeAutospacing="0" w:after="120" w:afterAutospacing="0"/>
        <w:jc w:val="both"/>
        <w:rPr>
          <w:color w:val="0F1115"/>
          <w:sz w:val="21"/>
          <w:szCs w:val="21"/>
        </w:rPr>
      </w:pPr>
      <w:r>
        <w:rPr>
          <w:sz w:val="21"/>
          <w:szCs w:val="21"/>
        </w:rPr>
        <w:t>These 5G radio enhancements (continuously sending adjustments or compensation parameters) are implemented per TN and NTN or per GEO and non-GEO (NGO) satellites. However, a radio protocol based on continuous sending of variable parameters per TN/NTN or per GEO and NGO satellites over the radio interface is not optimal for 6G's unified TN/NTN system. This is due to the asymmetrical requirements of each platform in 6G's multi-orbit and multi-platform scenario, which may require excessive information exchange over the air interface (</w:t>
      </w:r>
      <w:r>
        <w:rPr>
          <w:b/>
          <w:sz w:val="21"/>
          <w:szCs w:val="21"/>
        </w:rPr>
        <w:t>Figure 2</w:t>
      </w:r>
      <w:r>
        <w:rPr>
          <w:sz w:val="21"/>
          <w:szCs w:val="21"/>
        </w:rPr>
        <w:t>).</w:t>
      </w:r>
    </w:p>
    <w:p w14:paraId="2291455C">
      <w:pPr>
        <w:spacing w:before="120" w:beforeLines="50"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Observation 3-3: Unlike 5G, which considered TN and NTN separately, 6G radio protocol design must account for and be optimized for the diverse physical parameters and operational characteristics of different TN and NTN platforms from the beginning.</w:t>
      </w:r>
    </w:p>
    <w:p w14:paraId="333A39E6">
      <w:pPr>
        <w:rPr>
          <w:rFonts w:ascii="Times New Roman" w:hAnsi="Times New Roman" w:cs="Times New Roman"/>
        </w:rPr>
      </w:pPr>
      <w:r>
        <w:rPr>
          <w:rFonts w:ascii="Times New Roman" w:hAnsi="Times New Roman" w:cs="Times New Roman"/>
          <w:szCs w:val="21"/>
        </w:rPr>
        <w:pict>
          <v:shape id="_x0000_s1027" o:spid="_x0000_s1027" o:spt="75" type="#_x0000_t75" style="position:absolute;left:0pt;margin-left:71.2pt;margin-top:0.25pt;height:174.3pt;width:328.65pt;mso-wrap-distance-bottom:0pt;mso-wrap-distance-left:9pt;mso-wrap-distance-right:9pt;mso-wrap-distance-top:0pt;z-index:251659264;mso-width-relative:page;mso-height-relative:page;" o:ole="t" filled="f" o:preferrelative="t" stroked="f" coordsize="21600,21600">
            <v:path/>
            <v:fill on="f" focussize="0,0"/>
            <v:stroke on="f" joinstyle="miter"/>
            <v:imagedata r:id="rId5" o:title=""/>
            <o:lock v:ext="edit" aspectratio="t"/>
            <w10:wrap type="square" side="right"/>
          </v:shape>
          <o:OLEObject Type="Embed" ProgID="Visio.Drawing.11" ShapeID="_x0000_s1027" DrawAspect="Content" ObjectID="_1468075725" r:id="rId4">
            <o:LockedField>false</o:LockedField>
          </o:OLEObject>
        </w:pict>
      </w:r>
    </w:p>
    <w:p w14:paraId="5BCBEC51">
      <w:pPr>
        <w:autoSpaceDE w:val="0"/>
        <w:autoSpaceDN w:val="0"/>
        <w:adjustRightInd w:val="0"/>
        <w:jc w:val="center"/>
        <w:rPr>
          <w:rFonts w:ascii="Times New Roman" w:hAnsi="Times New Roman" w:cs="Times New Roman"/>
          <w:szCs w:val="21"/>
        </w:rPr>
      </w:pPr>
    </w:p>
    <w:p w14:paraId="3935CF5F">
      <w:pPr>
        <w:autoSpaceDE w:val="0"/>
        <w:autoSpaceDN w:val="0"/>
        <w:adjustRightInd w:val="0"/>
        <w:jc w:val="center"/>
        <w:rPr>
          <w:rFonts w:ascii="Times New Roman" w:hAnsi="Times New Roman" w:cs="Times New Roman"/>
          <w:b/>
          <w:szCs w:val="21"/>
        </w:rPr>
      </w:pPr>
    </w:p>
    <w:p w14:paraId="60613139">
      <w:pPr>
        <w:autoSpaceDE w:val="0"/>
        <w:autoSpaceDN w:val="0"/>
        <w:adjustRightInd w:val="0"/>
        <w:jc w:val="center"/>
        <w:rPr>
          <w:rFonts w:ascii="Times New Roman" w:hAnsi="Times New Roman" w:cs="Times New Roman"/>
          <w:b/>
          <w:szCs w:val="21"/>
        </w:rPr>
      </w:pPr>
    </w:p>
    <w:p w14:paraId="0BAA3D03">
      <w:pPr>
        <w:autoSpaceDE w:val="0"/>
        <w:autoSpaceDN w:val="0"/>
        <w:adjustRightInd w:val="0"/>
        <w:jc w:val="center"/>
        <w:rPr>
          <w:rFonts w:ascii="Times New Roman" w:hAnsi="Times New Roman" w:cs="Times New Roman"/>
          <w:b/>
          <w:szCs w:val="21"/>
        </w:rPr>
      </w:pPr>
    </w:p>
    <w:p w14:paraId="1CF365BF">
      <w:pPr>
        <w:autoSpaceDE w:val="0"/>
        <w:autoSpaceDN w:val="0"/>
        <w:adjustRightInd w:val="0"/>
        <w:jc w:val="center"/>
        <w:rPr>
          <w:rFonts w:ascii="Times New Roman" w:hAnsi="Times New Roman" w:cs="Times New Roman"/>
          <w:b/>
          <w:szCs w:val="21"/>
        </w:rPr>
      </w:pPr>
    </w:p>
    <w:p w14:paraId="40931911">
      <w:pPr>
        <w:autoSpaceDE w:val="0"/>
        <w:autoSpaceDN w:val="0"/>
        <w:adjustRightInd w:val="0"/>
        <w:jc w:val="center"/>
        <w:rPr>
          <w:rFonts w:ascii="Times New Roman" w:hAnsi="Times New Roman" w:cs="Times New Roman"/>
          <w:b/>
          <w:szCs w:val="21"/>
        </w:rPr>
      </w:pPr>
    </w:p>
    <w:p w14:paraId="6635825B">
      <w:pPr>
        <w:autoSpaceDE w:val="0"/>
        <w:autoSpaceDN w:val="0"/>
        <w:adjustRightInd w:val="0"/>
        <w:jc w:val="center"/>
        <w:rPr>
          <w:rFonts w:ascii="Times New Roman" w:hAnsi="Times New Roman" w:cs="Times New Roman"/>
          <w:b/>
          <w:szCs w:val="21"/>
        </w:rPr>
      </w:pPr>
    </w:p>
    <w:p w14:paraId="2DD6CD74">
      <w:pPr>
        <w:autoSpaceDE w:val="0"/>
        <w:autoSpaceDN w:val="0"/>
        <w:adjustRightInd w:val="0"/>
        <w:jc w:val="center"/>
        <w:rPr>
          <w:rFonts w:ascii="Times New Roman" w:hAnsi="Times New Roman" w:cs="Times New Roman"/>
          <w:b/>
          <w:szCs w:val="21"/>
        </w:rPr>
      </w:pPr>
    </w:p>
    <w:p w14:paraId="2494A04D">
      <w:pPr>
        <w:autoSpaceDE w:val="0"/>
        <w:autoSpaceDN w:val="0"/>
        <w:adjustRightInd w:val="0"/>
        <w:jc w:val="center"/>
        <w:rPr>
          <w:rFonts w:ascii="Times New Roman" w:hAnsi="Times New Roman" w:cs="Times New Roman"/>
          <w:b/>
          <w:szCs w:val="21"/>
        </w:rPr>
      </w:pPr>
    </w:p>
    <w:p w14:paraId="74D6768C">
      <w:pPr>
        <w:autoSpaceDE w:val="0"/>
        <w:autoSpaceDN w:val="0"/>
        <w:adjustRightInd w:val="0"/>
        <w:jc w:val="center"/>
        <w:rPr>
          <w:rFonts w:ascii="Times New Roman" w:hAnsi="Times New Roman" w:cs="Times New Roman"/>
          <w:b/>
          <w:szCs w:val="21"/>
        </w:rPr>
      </w:pPr>
    </w:p>
    <w:p w14:paraId="628ECB20">
      <w:pPr>
        <w:autoSpaceDE w:val="0"/>
        <w:autoSpaceDN w:val="0"/>
        <w:adjustRightInd w:val="0"/>
        <w:jc w:val="center"/>
        <w:rPr>
          <w:rFonts w:ascii="Times New Roman" w:hAnsi="Times New Roman" w:cs="Times New Roman"/>
          <w:b/>
          <w:szCs w:val="21"/>
        </w:rPr>
      </w:pPr>
    </w:p>
    <w:p w14:paraId="1B13649E">
      <w:pPr>
        <w:autoSpaceDE w:val="0"/>
        <w:autoSpaceDN w:val="0"/>
        <w:adjustRightInd w:val="0"/>
        <w:jc w:val="center"/>
        <w:rPr>
          <w:rFonts w:ascii="Times New Roman" w:hAnsi="Times New Roman" w:cs="Times New Roman"/>
          <w:b/>
          <w:szCs w:val="21"/>
        </w:rPr>
      </w:pPr>
    </w:p>
    <w:p w14:paraId="5207BAA5">
      <w:pPr>
        <w:autoSpaceDE w:val="0"/>
        <w:autoSpaceDN w:val="0"/>
        <w:adjustRightInd w:val="0"/>
        <w:jc w:val="center"/>
        <w:rPr>
          <w:rFonts w:ascii="Times New Roman" w:hAnsi="Times New Roman" w:cs="Times New Roman"/>
          <w:b/>
          <w:szCs w:val="21"/>
        </w:rPr>
      </w:pPr>
    </w:p>
    <w:p w14:paraId="0D901D18">
      <w:pPr>
        <w:autoSpaceDE w:val="0"/>
        <w:autoSpaceDN w:val="0"/>
        <w:adjustRightInd w:val="0"/>
        <w:rPr>
          <w:rFonts w:ascii="Times New Roman" w:hAnsi="Times New Roman" w:cs="Times New Roman"/>
          <w:b/>
          <w:szCs w:val="21"/>
        </w:rPr>
      </w:pPr>
    </w:p>
    <w:p w14:paraId="01817633">
      <w:pPr>
        <w:autoSpaceDE w:val="0"/>
        <w:autoSpaceDN w:val="0"/>
        <w:adjustRightInd w:val="0"/>
        <w:jc w:val="center"/>
        <w:rPr>
          <w:rStyle w:val="23"/>
          <w:rFonts w:ascii="Times New Roman" w:hAnsi="Times New Roman" w:eastAsia="楷体" w:cs="Times New Roman"/>
          <w:szCs w:val="21"/>
        </w:rPr>
      </w:pPr>
      <w:r>
        <w:rPr>
          <w:rStyle w:val="23"/>
          <w:rFonts w:ascii="Times New Roman" w:hAnsi="Times New Roman" w:eastAsia="楷体" w:cs="Times New Roman"/>
          <w:szCs w:val="21"/>
        </w:rPr>
        <w:t>Figure 2: Non-terrestrial Multi-platform Specific Constraints</w:t>
      </w:r>
    </w:p>
    <w:p w14:paraId="72485144">
      <w:pPr>
        <w:spacing w:before="120" w:beforeLines="50" w:after="120" w:afterLines="50"/>
        <w:rPr>
          <w:sz w:val="21"/>
          <w:szCs w:val="21"/>
          <w:lang w:val="en-US"/>
        </w:rPr>
      </w:pPr>
      <w:r>
        <w:rPr>
          <w:rFonts w:hint="eastAsia" w:ascii="Times New Roman" w:hAnsi="Times New Roman" w:cs="Times New Roman"/>
          <w:b/>
          <w:bCs/>
          <w:i/>
          <w:iCs/>
          <w:szCs w:val="21"/>
          <w:lang w:val="en-US" w:eastAsia="zh-CN"/>
        </w:rPr>
        <w:t>Proposal 3: NTN/TN unification should be studied from day one for 6GR, including unified initial access and RRC modelling techniques and a unified 6G-radio protocol signalling framework.</w:t>
      </w:r>
    </w:p>
    <w:p w14:paraId="6FADE47E">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Conclusion</w:t>
      </w:r>
    </w:p>
    <w:p w14:paraId="5DD7DAE2">
      <w:pPr>
        <w:spacing w:after="120" w:afterLines="50"/>
        <w:rPr>
          <w:rFonts w:hint="eastAsia" w:ascii="Times New Roman" w:hAnsi="Times New Roman" w:cs="Times New Roman"/>
          <w:szCs w:val="21"/>
        </w:rPr>
      </w:pPr>
      <w:r>
        <w:rPr>
          <w:rFonts w:hint="eastAsia" w:ascii="Times New Roman" w:hAnsi="Times New Roman" w:cs="Times New Roman"/>
          <w:szCs w:val="21"/>
        </w:rPr>
        <w:t xml:space="preserve">In this contribution, we discussed the </w:t>
      </w:r>
      <w:r>
        <w:rPr>
          <w:rFonts w:hint="eastAsia" w:ascii="Times New Roman" w:hAnsi="Times New Roman" w:cs="Times New Roman"/>
          <w:szCs w:val="21"/>
          <w:lang w:val="en-US" w:eastAsia="zh-CN"/>
        </w:rPr>
        <w:t>following aspect of RRC protocol architecture for 6GR</w:t>
      </w:r>
      <w:r>
        <w:rPr>
          <w:rFonts w:hint="eastAsia" w:ascii="Times New Roman" w:hAnsi="Times New Roman" w:cs="Times New Roman"/>
        </w:rPr>
        <w:t xml:space="preserve"> </w:t>
      </w:r>
      <w:r>
        <w:rPr>
          <w:rFonts w:hint="eastAsia" w:ascii="Times New Roman" w:hAnsi="Times New Roman" w:cs="Times New Roman"/>
          <w:szCs w:val="21"/>
        </w:rPr>
        <w:t xml:space="preserve">and provided our proposals as follows: </w:t>
      </w:r>
    </w:p>
    <w:p w14:paraId="1FB347CA">
      <w:pPr>
        <w:numPr>
          <w:ilvl w:val="0"/>
          <w:numId w:val="7"/>
        </w:numPr>
        <w:spacing w:after="120" w:afterLines="50"/>
        <w:ind w:left="420" w:leftChars="0" w:hanging="420" w:firstLineChars="0"/>
        <w:rPr>
          <w:rFonts w:hint="eastAsia" w:ascii="Times New Roman" w:hAnsi="Times New Roman" w:cs="Times New Roman"/>
          <w:szCs w:val="21"/>
        </w:rPr>
      </w:pPr>
      <w:r>
        <w:rPr>
          <w:rFonts w:hint="eastAsia" w:ascii="Times New Roman" w:hAnsi="Times New Roman" w:eastAsia="宋体" w:cs="Times New Roman"/>
          <w:sz w:val="24"/>
          <w:szCs w:val="24"/>
          <w:lang w:val="en-US" w:eastAsia="zh-CN"/>
        </w:rPr>
        <w:t>RRC States</w:t>
      </w:r>
    </w:p>
    <w:p w14:paraId="286EF190">
      <w:pPr>
        <w:spacing w:before="120" w:beforeLines="50" w:after="120" w:afterLines="50"/>
        <w:ind w:left="1681" w:leftChars="200" w:hanging="1261" w:hangingChars="600"/>
        <w:rPr>
          <w:rFonts w:hint="eastAsia" w:ascii="Times New Roman" w:hAnsi="Times New Roman" w:cs="Times New Roman" w:eastAsiaTheme="minorEastAsia"/>
          <w:b/>
          <w:bCs/>
          <w:i/>
          <w:iCs/>
          <w:szCs w:val="21"/>
          <w:lang w:eastAsia="zh-CN"/>
        </w:rPr>
      </w:pPr>
      <w:r>
        <w:rPr>
          <w:rFonts w:hint="eastAsia" w:ascii="Times New Roman" w:hAnsi="Times New Roman" w:cs="Times New Roman"/>
          <w:b/>
          <w:bCs/>
          <w:i/>
          <w:iCs/>
          <w:szCs w:val="21"/>
          <w:lang w:val="en-US" w:eastAsia="zh-CN"/>
        </w:rPr>
        <w:t xml:space="preserve">Observation 1: For the </w:t>
      </w:r>
      <w:r>
        <w:rPr>
          <w:rFonts w:hint="default" w:ascii="Times New Roman" w:hAnsi="Times New Roman" w:cs="Times New Roman"/>
          <w:b/>
          <w:bCs/>
          <w:i/>
          <w:iCs/>
          <w:szCs w:val="21"/>
          <w:lang w:val="en-US" w:eastAsia="zh-CN"/>
        </w:rPr>
        <w:t>three-state RRC model</w:t>
      </w:r>
      <w:r>
        <w:rPr>
          <w:rFonts w:hint="eastAsia" w:ascii="Times New Roman" w:hAnsi="Times New Roman" w:cs="Times New Roman"/>
          <w:b/>
          <w:bCs/>
          <w:i/>
          <w:iCs/>
          <w:szCs w:val="21"/>
          <w:lang w:val="en-US" w:eastAsia="zh-CN"/>
        </w:rPr>
        <w:t xml:space="preserve"> in 5G, there are limitations on significant signaling overhead due to frequent state transition, m</w:t>
      </w:r>
      <w:r>
        <w:rPr>
          <w:rFonts w:hint="default" w:ascii="Times New Roman" w:hAnsi="Times New Roman" w:cs="Times New Roman"/>
          <w:b/>
          <w:bCs/>
          <w:i/>
          <w:iCs/>
          <w:szCs w:val="21"/>
          <w:lang w:val="en-US" w:eastAsia="zh-CN"/>
        </w:rPr>
        <w:t>ulti-level paging</w:t>
      </w:r>
      <w:r>
        <w:rPr>
          <w:rFonts w:hint="eastAsia" w:ascii="Times New Roman" w:hAnsi="Times New Roman" w:cs="Times New Roman"/>
          <w:b/>
          <w:bCs/>
          <w:i/>
          <w:iCs/>
          <w:szCs w:val="21"/>
          <w:lang w:val="en-US" w:eastAsia="zh-CN"/>
        </w:rPr>
        <w:t xml:space="preserve"> in RRC_INACTIVE and limited commercial adoption for RRC_INACTIVE.</w:t>
      </w:r>
    </w:p>
    <w:p w14:paraId="4335FA54">
      <w:pPr>
        <w:spacing w:before="120" w:beforeLines="50" w:after="120" w:afterLines="50"/>
        <w:ind w:left="1681" w:leftChars="200" w:hanging="1261" w:hangingChars="600"/>
        <w:rPr>
          <w:rFonts w:hint="eastAsia" w:ascii="Times New Roman" w:hAnsi="Times New Roman" w:cs="Times New Roman"/>
          <w:b/>
          <w:bCs/>
          <w:i/>
          <w:iCs/>
          <w:szCs w:val="21"/>
          <w:lang w:eastAsia="zh-CN"/>
        </w:rPr>
      </w:pPr>
      <w:r>
        <w:rPr>
          <w:rFonts w:hint="eastAsia" w:ascii="Times New Roman" w:hAnsi="Times New Roman" w:cs="Times New Roman"/>
          <w:b/>
          <w:bCs/>
          <w:i/>
          <w:iCs/>
          <w:szCs w:val="21"/>
          <w:lang w:val="en-US" w:eastAsia="zh-CN"/>
        </w:rPr>
        <w:t>Proposal 1: A simplified and flexible RRC state model with configurable states/sub</w:t>
      </w:r>
      <w:r>
        <w:rPr>
          <w:rFonts w:hint="eastAsia" w:ascii="Times New Roman" w:hAnsi="Times New Roman" w:cs="Times New Roman"/>
          <w:b/>
          <w:bCs/>
          <w:i/>
          <w:iCs/>
          <w:szCs w:val="21"/>
          <w:lang w:val="en-US" w:eastAsia="zh-CN"/>
        </w:rPr>
        <w:noBreakHyphen/>
      </w:r>
      <w:r>
        <w:rPr>
          <w:rFonts w:hint="eastAsia" w:ascii="Times New Roman" w:hAnsi="Times New Roman" w:cs="Times New Roman"/>
          <w:b/>
          <w:bCs/>
          <w:i/>
          <w:iCs/>
          <w:szCs w:val="21"/>
          <w:lang w:val="en-US" w:eastAsia="zh-CN"/>
        </w:rPr>
        <w:t>states should be studied for 6GR to aligned with specific UE and service requirements.</w:t>
      </w:r>
    </w:p>
    <w:p w14:paraId="30A2878E">
      <w:pPr>
        <w:numPr>
          <w:ilvl w:val="0"/>
          <w:numId w:val="7"/>
        </w:numPr>
        <w:spacing w:after="120" w:afterLines="50"/>
        <w:ind w:left="420" w:leftChars="0" w:hanging="420" w:firstLineChars="0"/>
        <w:rPr>
          <w:rFonts w:hint="eastAsia" w:ascii="Times New Roman" w:hAnsi="Times New Roman" w:cs="Times New Roman"/>
          <w:szCs w:val="21"/>
        </w:rPr>
      </w:pPr>
      <w:r>
        <w:rPr>
          <w:rFonts w:hint="eastAsia" w:ascii="Times New Roman" w:hAnsi="Times New Roman" w:eastAsia="宋体" w:cs="Times New Roman"/>
          <w:sz w:val="24"/>
          <w:szCs w:val="24"/>
          <w:lang w:val="en-US" w:eastAsia="zh-CN"/>
        </w:rPr>
        <w:t>Cell management</w:t>
      </w:r>
    </w:p>
    <w:p w14:paraId="0518D4C7">
      <w:pPr>
        <w:spacing w:before="120" w:beforeLines="50" w:after="120" w:afterLines="50"/>
        <w:ind w:left="1681" w:leftChars="200" w:hanging="1261" w:hangingChars="600"/>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 xml:space="preserve">Observation 2: For the case deploying many carriers, single-carrier-per-cell design would lead to </w:t>
      </w:r>
      <w:r>
        <w:rPr>
          <w:rFonts w:hint="default" w:ascii="Times New Roman" w:hAnsi="Times New Roman" w:cs="Times New Roman"/>
          <w:b/>
          <w:bCs/>
          <w:i/>
          <w:iCs/>
          <w:szCs w:val="21"/>
          <w:lang w:val="en-US" w:eastAsia="zh-CN"/>
        </w:rPr>
        <w:t>Idle Mode Energy Overhead</w:t>
      </w:r>
      <w:r>
        <w:rPr>
          <w:rFonts w:hint="eastAsia" w:ascii="Times New Roman" w:hAnsi="Times New Roman" w:cs="Times New Roman"/>
          <w:b/>
          <w:bCs/>
          <w:i/>
          <w:iCs/>
          <w:szCs w:val="21"/>
          <w:lang w:val="en-US" w:eastAsia="zh-CN"/>
        </w:rPr>
        <w:t xml:space="preserve">, </w:t>
      </w:r>
      <w:r>
        <w:rPr>
          <w:rFonts w:hint="default" w:ascii="Times New Roman" w:hAnsi="Times New Roman" w:cs="Times New Roman"/>
          <w:b/>
          <w:bCs/>
          <w:i/>
          <w:iCs/>
          <w:szCs w:val="21"/>
          <w:lang w:val="en-US" w:eastAsia="zh-CN"/>
        </w:rPr>
        <w:t>Paging and Broadcast Duplication</w:t>
      </w:r>
      <w:r>
        <w:rPr>
          <w:rFonts w:hint="eastAsia" w:ascii="Times New Roman" w:hAnsi="Times New Roman" w:cs="Times New Roman"/>
          <w:b/>
          <w:bCs/>
          <w:i/>
          <w:iCs/>
          <w:szCs w:val="21"/>
          <w:lang w:val="en-US" w:eastAsia="zh-CN"/>
        </w:rPr>
        <w:t xml:space="preserve">, </w:t>
      </w:r>
      <w:r>
        <w:rPr>
          <w:rFonts w:hint="default" w:ascii="Times New Roman" w:hAnsi="Times New Roman" w:cs="Times New Roman"/>
          <w:b/>
          <w:bCs/>
          <w:i/>
          <w:iCs/>
          <w:szCs w:val="21"/>
          <w:lang w:val="en-US" w:eastAsia="zh-CN"/>
        </w:rPr>
        <w:t>Idle UE Measurement Burde</w:t>
      </w:r>
      <w:r>
        <w:rPr>
          <w:rFonts w:hint="eastAsia" w:ascii="Times New Roman" w:hAnsi="Times New Roman" w:cs="Times New Roman"/>
          <w:b/>
          <w:bCs/>
          <w:i/>
          <w:iCs/>
          <w:szCs w:val="21"/>
          <w:lang w:val="en-US" w:eastAsia="zh-CN"/>
        </w:rPr>
        <w:t xml:space="preserve"> and </w:t>
      </w:r>
      <w:r>
        <w:rPr>
          <w:rFonts w:hint="default" w:ascii="Times New Roman" w:hAnsi="Times New Roman" w:cs="Times New Roman"/>
          <w:b/>
          <w:bCs/>
          <w:i/>
          <w:iCs/>
          <w:szCs w:val="21"/>
          <w:lang w:val="en-US" w:eastAsia="zh-CN"/>
        </w:rPr>
        <w:t>Carrier Aggregation Complexity</w:t>
      </w:r>
      <w:r>
        <w:rPr>
          <w:rFonts w:hint="eastAsia" w:ascii="Times New Roman" w:hAnsi="Times New Roman" w:cs="Times New Roman"/>
          <w:b/>
          <w:bCs/>
          <w:i/>
          <w:iCs/>
          <w:szCs w:val="21"/>
          <w:lang w:val="en-US" w:eastAsia="zh-CN"/>
        </w:rPr>
        <w:t xml:space="preserve"> for connected UE.</w:t>
      </w:r>
    </w:p>
    <w:p w14:paraId="0E586CA6">
      <w:pPr>
        <w:spacing w:before="120" w:beforeLines="50" w:after="120" w:afterLines="50"/>
        <w:ind w:left="1681" w:leftChars="200" w:hanging="1261" w:hangingChars="600"/>
        <w:rPr>
          <w:rFonts w:hint="eastAsia" w:ascii="Times New Roman" w:hAnsi="Times New Roman" w:cs="Times New Roman"/>
          <w:szCs w:val="21"/>
        </w:rPr>
      </w:pPr>
      <w:r>
        <w:rPr>
          <w:rFonts w:hint="eastAsia" w:ascii="Times New Roman" w:hAnsi="Times New Roman" w:cs="Times New Roman"/>
          <w:b/>
          <w:bCs/>
          <w:i/>
          <w:iCs/>
          <w:szCs w:val="21"/>
          <w:lang w:val="en-US" w:eastAsia="zh-CN"/>
        </w:rPr>
        <w:t>Proposal 2:  In the 6G RAN RRC architecture, introduce a unified multi-carrier cell design for both idle and connected modes UE.</w:t>
      </w:r>
    </w:p>
    <w:p w14:paraId="533CD52C">
      <w:pPr>
        <w:numPr>
          <w:ilvl w:val="0"/>
          <w:numId w:val="7"/>
        </w:numPr>
        <w:spacing w:after="120" w:afterLines="50"/>
        <w:ind w:left="420" w:leftChars="0" w:hanging="420" w:firstLineChars="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Harmonized 6G Radio design for TN and NTN</w:t>
      </w:r>
    </w:p>
    <w:p w14:paraId="3AC20A44">
      <w:pPr>
        <w:spacing w:before="120" w:beforeLines="50" w:after="120" w:afterLines="50"/>
        <w:ind w:left="1681" w:leftChars="200" w:hanging="1261" w:hangingChars="60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Observation 3-1: A unified TN/NTN design from day one is essential for 6G to provide ubiquitous coverage and seamless service continuity, preventing the need for complex and costly integration of non-terrestrial components at a later stage</w:t>
      </w:r>
    </w:p>
    <w:p w14:paraId="3B9081DF">
      <w:pPr>
        <w:spacing w:before="120" w:beforeLines="50" w:after="120" w:afterLines="50"/>
        <w:ind w:left="1681" w:leftChars="200" w:hanging="1261" w:hangingChars="60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Observation 3-2: The significant physical layer disparities between TN and NTN platforms necessitate unified access and RRC modelling procedures that can automatically adapt to different waveform and TN/NTN platform signal characteristics.</w:t>
      </w:r>
    </w:p>
    <w:p w14:paraId="416E5566">
      <w:pPr>
        <w:spacing w:before="120" w:beforeLines="50" w:after="120" w:afterLines="50"/>
        <w:ind w:left="1681" w:leftChars="200" w:hanging="1261" w:hangingChars="60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Observation 3-3: Unlike 5G, which considered TN and NTN separately, 6G radio protocol design must account for and be optimized for the diverse physical parameters and operational characteristics of different TN and NTN platforms from the beginning.</w:t>
      </w:r>
    </w:p>
    <w:p w14:paraId="7A2B5F25">
      <w:pPr>
        <w:spacing w:before="120" w:beforeLines="50" w:after="120" w:afterLines="50"/>
        <w:ind w:left="1681" w:leftChars="200" w:hanging="1261" w:hangingChars="600"/>
        <w:rPr>
          <w:rFonts w:hint="eastAsia" w:ascii="Times New Roman" w:hAnsi="Times New Roman" w:cs="Times New Roman"/>
          <w:szCs w:val="21"/>
        </w:rPr>
      </w:pPr>
      <w:r>
        <w:rPr>
          <w:rFonts w:hint="eastAsia" w:ascii="Times New Roman" w:hAnsi="Times New Roman" w:cs="Times New Roman"/>
          <w:b/>
          <w:bCs/>
          <w:i/>
          <w:iCs/>
          <w:szCs w:val="21"/>
          <w:lang w:val="en-US" w:eastAsia="zh-CN"/>
        </w:rPr>
        <w:t>Proposal 3:  NTN/TN unification should be studied from day one for 6GR</w:t>
      </w:r>
      <w:bookmarkStart w:id="3" w:name="_GoBack"/>
      <w:bookmarkEnd w:id="3"/>
      <w:r>
        <w:rPr>
          <w:rFonts w:hint="eastAsia" w:ascii="Times New Roman" w:hAnsi="Times New Roman" w:cs="Times New Roman"/>
          <w:b/>
          <w:bCs/>
          <w:i/>
          <w:iCs/>
          <w:szCs w:val="21"/>
          <w:lang w:val="en-US" w:eastAsia="zh-CN"/>
        </w:rPr>
        <w:t>, including unified initial access and RRC modelling techniques and a unified 6G-radio protocol signalling framework.</w:t>
      </w:r>
    </w:p>
    <w:p w14:paraId="39E33C24">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References</w:t>
      </w:r>
    </w:p>
    <w:p w14:paraId="1EC8AE41">
      <w:pPr>
        <w:widowControl/>
        <w:numPr>
          <w:ilvl w:val="0"/>
          <w:numId w:val="8"/>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TR 22.870: "Study on 6G Use Cases and Service Requirements".</w:t>
      </w:r>
    </w:p>
    <w:p w14:paraId="13D1B70D">
      <w:pPr>
        <w:widowControl/>
        <w:numPr>
          <w:ilvl w:val="0"/>
          <w:numId w:val="8"/>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TR 38.914: "Study on 6G Scenarios and Requirements"</w:t>
      </w:r>
      <w:r>
        <w:rPr>
          <w:rFonts w:hint="eastAsia" w:ascii="Times New Roman" w:hAnsi="Times New Roman" w:cs="Times New Roman"/>
          <w:lang w:val="en-US" w:eastAsia="zh-CN"/>
        </w:rPr>
        <w:t>.</w:t>
      </w:r>
    </w:p>
    <w:p w14:paraId="419285C6">
      <w:pPr>
        <w:widowControl/>
        <w:numPr>
          <w:ilvl w:val="0"/>
          <w:numId w:val="8"/>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RP-252912: " Revised SID: Study on 6G Radio“NTT DOCOMO, CMCC, AT&amp;T, Vodafone Beijing, China, September 15-18, 2025</w:t>
      </w:r>
      <w:r>
        <w:rPr>
          <w:rFonts w:hint="eastAsia" w:ascii="Times New Roman" w:hAnsi="Times New Roman" w:cs="Times New Roman"/>
          <w:lang w:val="en-US" w:eastAsia="zh-CN"/>
        </w:rPr>
        <w:t>.</w:t>
      </w:r>
    </w:p>
    <w:sectPr>
      <w:pgSz w:w="11907" w:h="16840"/>
      <w:pgMar w:top="1417" w:right="1134" w:bottom="1417" w:left="1417"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ＭＳ 明朝">
    <w:altName w:val="Yu Gothic UI"/>
    <w:panose1 w:val="02020609040205080304"/>
    <w:charset w:val="80"/>
    <w:family w:val="roman"/>
    <w:pitch w:val="default"/>
    <w:sig w:usb0="00000000" w:usb1="00000000"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4FB349"/>
    <w:multiLevelType w:val="multilevel"/>
    <w:tmpl w:val="B64FB349"/>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2"/>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2">
    <w:nsid w:val="1B8FB72E"/>
    <w:multiLevelType w:val="multilevel"/>
    <w:tmpl w:val="1B8FB72E"/>
    <w:lvl w:ilvl="0" w:tentative="0">
      <w:start w:val="3"/>
      <w:numFmt w:val="decimal"/>
      <w:lvlText w:val="(%1)"/>
      <w:lvlJc w:val="left"/>
      <w:pPr>
        <w:ind w:left="720" w:hanging="360"/>
      </w:pPr>
      <w:rPr>
        <w:rFonts w:hint="default"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eastAsia="等线" w:cs="Times New Roman"/>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4771F0A5"/>
    <w:multiLevelType w:val="singleLevel"/>
    <w:tmpl w:val="4771F0A5"/>
    <w:lvl w:ilvl="0" w:tentative="0">
      <w:start w:val="1"/>
      <w:numFmt w:val="bullet"/>
      <w:lvlText w:val=""/>
      <w:lvlJc w:val="left"/>
      <w:pPr>
        <w:ind w:left="420" w:hanging="420"/>
      </w:pPr>
      <w:rPr>
        <w:rFonts w:hint="default" w:ascii="Wingdings" w:hAnsi="Wingdings"/>
      </w:rPr>
    </w:lvl>
  </w:abstractNum>
  <w:abstractNum w:abstractNumId="5">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eastAsia="等线" w:cs="Times New Roman"/>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0146DC0"/>
    <w:multiLevelType w:val="multilevel"/>
    <w:tmpl w:val="70146DC0"/>
    <w:lvl w:ilvl="0" w:tentative="0">
      <w:start w:val="1"/>
      <w:numFmt w:val="bullet"/>
      <w:pStyle w:val="57"/>
      <w:lvlText w:val=""/>
      <w:lvlJc w:val="left"/>
      <w:pPr>
        <w:tabs>
          <w:tab w:val="left" w:pos="2039"/>
        </w:tabs>
        <w:ind w:left="2039" w:hanging="360"/>
      </w:pPr>
      <w:rPr>
        <w:rFonts w:hint="default" w:ascii="Symbol" w:hAnsi="Symbol"/>
        <w:b/>
        <w:i w:val="0"/>
        <w:color w:val="auto"/>
        <w:sz w:val="22"/>
      </w:rPr>
    </w:lvl>
    <w:lvl w:ilvl="1" w:tentative="0">
      <w:start w:val="1"/>
      <w:numFmt w:val="bullet"/>
      <w:lvlText w:val="o"/>
      <w:lvlJc w:val="left"/>
      <w:pPr>
        <w:tabs>
          <w:tab w:val="left" w:pos="1860"/>
        </w:tabs>
        <w:ind w:left="1860" w:hanging="360"/>
      </w:pPr>
      <w:rPr>
        <w:rFonts w:hint="default" w:ascii="Courier New" w:hAnsi="Courier New" w:cs="Courier New"/>
      </w:rPr>
    </w:lvl>
    <w:lvl w:ilvl="2" w:tentative="0">
      <w:start w:val="1"/>
      <w:numFmt w:val="bullet"/>
      <w:lvlText w:val=""/>
      <w:lvlJc w:val="left"/>
      <w:pPr>
        <w:tabs>
          <w:tab w:val="left" w:pos="2580"/>
        </w:tabs>
        <w:ind w:left="2580" w:hanging="360"/>
      </w:pPr>
      <w:rPr>
        <w:rFonts w:hint="default" w:ascii="Wingdings" w:hAnsi="Wingdings"/>
      </w:rPr>
    </w:lvl>
    <w:lvl w:ilvl="3" w:tentative="0">
      <w:start w:val="1"/>
      <w:numFmt w:val="bullet"/>
      <w:lvlText w:val=""/>
      <w:lvlJc w:val="left"/>
      <w:pPr>
        <w:tabs>
          <w:tab w:val="left" w:pos="3300"/>
        </w:tabs>
        <w:ind w:left="3300" w:hanging="360"/>
      </w:pPr>
      <w:rPr>
        <w:rFonts w:hint="default" w:ascii="Symbol" w:hAnsi="Symbol"/>
      </w:rPr>
    </w:lvl>
    <w:lvl w:ilvl="4" w:tentative="0">
      <w:start w:val="1"/>
      <w:numFmt w:val="bullet"/>
      <w:lvlText w:val="o"/>
      <w:lvlJc w:val="left"/>
      <w:pPr>
        <w:tabs>
          <w:tab w:val="left" w:pos="4020"/>
        </w:tabs>
        <w:ind w:left="4020" w:hanging="360"/>
      </w:pPr>
      <w:rPr>
        <w:rFonts w:hint="default" w:ascii="Courier New" w:hAnsi="Courier New" w:cs="Courier New"/>
      </w:rPr>
    </w:lvl>
    <w:lvl w:ilvl="5" w:tentative="0">
      <w:start w:val="1"/>
      <w:numFmt w:val="bullet"/>
      <w:lvlText w:val=""/>
      <w:lvlJc w:val="left"/>
      <w:pPr>
        <w:tabs>
          <w:tab w:val="left" w:pos="4740"/>
        </w:tabs>
        <w:ind w:left="4740" w:hanging="360"/>
      </w:pPr>
      <w:rPr>
        <w:rFonts w:hint="default" w:ascii="Wingdings" w:hAnsi="Wingdings"/>
      </w:rPr>
    </w:lvl>
    <w:lvl w:ilvl="6" w:tentative="0">
      <w:start w:val="1"/>
      <w:numFmt w:val="bullet"/>
      <w:lvlText w:val=""/>
      <w:lvlJc w:val="left"/>
      <w:pPr>
        <w:tabs>
          <w:tab w:val="left" w:pos="5460"/>
        </w:tabs>
        <w:ind w:left="5460" w:hanging="360"/>
      </w:pPr>
      <w:rPr>
        <w:rFonts w:hint="default" w:ascii="Symbol" w:hAnsi="Symbol"/>
      </w:rPr>
    </w:lvl>
    <w:lvl w:ilvl="7" w:tentative="0">
      <w:start w:val="1"/>
      <w:numFmt w:val="bullet"/>
      <w:lvlText w:val="o"/>
      <w:lvlJc w:val="left"/>
      <w:pPr>
        <w:tabs>
          <w:tab w:val="left" w:pos="6180"/>
        </w:tabs>
        <w:ind w:left="6180" w:hanging="360"/>
      </w:pPr>
      <w:rPr>
        <w:rFonts w:hint="default" w:ascii="Courier New" w:hAnsi="Courier New" w:cs="Courier New"/>
      </w:rPr>
    </w:lvl>
    <w:lvl w:ilvl="8" w:tentative="0">
      <w:start w:val="1"/>
      <w:numFmt w:val="bullet"/>
      <w:lvlText w:val=""/>
      <w:lvlJc w:val="left"/>
      <w:pPr>
        <w:tabs>
          <w:tab w:val="left" w:pos="6900"/>
        </w:tabs>
        <w:ind w:left="6900" w:hanging="360"/>
      </w:pPr>
      <w:rPr>
        <w:rFonts w:hint="default" w:ascii="Wingdings" w:hAnsi="Wingdings"/>
      </w:rPr>
    </w:lvl>
  </w:abstractNum>
  <w:abstractNum w:abstractNumId="7">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0"/>
  </w:num>
  <w:num w:numId="2">
    <w:abstractNumId w:val="6"/>
  </w:num>
  <w:num w:numId="3">
    <w:abstractNumId w:val="3"/>
  </w:num>
  <w:num w:numId="4">
    <w:abstractNumId w:val="5"/>
  </w:num>
  <w:num w:numId="5">
    <w:abstractNumId w:val="2"/>
  </w:num>
  <w:num w:numId="6">
    <w:abstractNumId w:val="7"/>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3145D"/>
    <w:rsid w:val="00455276"/>
    <w:rsid w:val="00526E9D"/>
    <w:rsid w:val="0056591F"/>
    <w:rsid w:val="005C34E1"/>
    <w:rsid w:val="00680B0A"/>
    <w:rsid w:val="007109E6"/>
    <w:rsid w:val="00747CF4"/>
    <w:rsid w:val="007E2DA4"/>
    <w:rsid w:val="00801DCF"/>
    <w:rsid w:val="00867DE5"/>
    <w:rsid w:val="00872B5B"/>
    <w:rsid w:val="008B1CC1"/>
    <w:rsid w:val="00A3450B"/>
    <w:rsid w:val="00AD5960"/>
    <w:rsid w:val="00B36A82"/>
    <w:rsid w:val="00B85346"/>
    <w:rsid w:val="00BC6118"/>
    <w:rsid w:val="00BE19BF"/>
    <w:rsid w:val="00CB77BE"/>
    <w:rsid w:val="00D02949"/>
    <w:rsid w:val="00D23614"/>
    <w:rsid w:val="00DE1EC0"/>
    <w:rsid w:val="00DF649C"/>
    <w:rsid w:val="00F929A3"/>
    <w:rsid w:val="00FC66A5"/>
    <w:rsid w:val="010E1D4D"/>
    <w:rsid w:val="01330893"/>
    <w:rsid w:val="01B12E58"/>
    <w:rsid w:val="01C371DA"/>
    <w:rsid w:val="020411DA"/>
    <w:rsid w:val="031B28AD"/>
    <w:rsid w:val="034877EC"/>
    <w:rsid w:val="034E4A60"/>
    <w:rsid w:val="03DD6AF5"/>
    <w:rsid w:val="047162D4"/>
    <w:rsid w:val="049F168E"/>
    <w:rsid w:val="04BD145A"/>
    <w:rsid w:val="04E00808"/>
    <w:rsid w:val="055E50A5"/>
    <w:rsid w:val="0568310D"/>
    <w:rsid w:val="05720F2C"/>
    <w:rsid w:val="05756793"/>
    <w:rsid w:val="058E3614"/>
    <w:rsid w:val="05A47ACE"/>
    <w:rsid w:val="05BB24F7"/>
    <w:rsid w:val="05C04E1F"/>
    <w:rsid w:val="05D76C05"/>
    <w:rsid w:val="06897EFF"/>
    <w:rsid w:val="072D40F1"/>
    <w:rsid w:val="074D2750"/>
    <w:rsid w:val="07522471"/>
    <w:rsid w:val="07FE2B1F"/>
    <w:rsid w:val="08B2294B"/>
    <w:rsid w:val="08FC1348"/>
    <w:rsid w:val="092A7ACA"/>
    <w:rsid w:val="09452F63"/>
    <w:rsid w:val="09680EB8"/>
    <w:rsid w:val="09ED2CA5"/>
    <w:rsid w:val="0A067E6E"/>
    <w:rsid w:val="0A481A1C"/>
    <w:rsid w:val="0AE314B1"/>
    <w:rsid w:val="0AEC2FE8"/>
    <w:rsid w:val="0B260413"/>
    <w:rsid w:val="0B9C06D5"/>
    <w:rsid w:val="0BAD139F"/>
    <w:rsid w:val="0BB62E8D"/>
    <w:rsid w:val="0C110567"/>
    <w:rsid w:val="0C397531"/>
    <w:rsid w:val="0C470E4F"/>
    <w:rsid w:val="0C812E6D"/>
    <w:rsid w:val="0C9E047D"/>
    <w:rsid w:val="0D733868"/>
    <w:rsid w:val="0D9546F5"/>
    <w:rsid w:val="0DD51C7C"/>
    <w:rsid w:val="0DD65942"/>
    <w:rsid w:val="0DEA753C"/>
    <w:rsid w:val="0DF57134"/>
    <w:rsid w:val="0E4A6F14"/>
    <w:rsid w:val="0E540AE8"/>
    <w:rsid w:val="0E762255"/>
    <w:rsid w:val="0ED3362B"/>
    <w:rsid w:val="0EF50B08"/>
    <w:rsid w:val="0F491DCF"/>
    <w:rsid w:val="0F672DA8"/>
    <w:rsid w:val="0F6D5043"/>
    <w:rsid w:val="0F723A91"/>
    <w:rsid w:val="10924438"/>
    <w:rsid w:val="10E32902"/>
    <w:rsid w:val="1109680C"/>
    <w:rsid w:val="118934A9"/>
    <w:rsid w:val="11DF6823"/>
    <w:rsid w:val="11FC4B10"/>
    <w:rsid w:val="121758CF"/>
    <w:rsid w:val="1282108C"/>
    <w:rsid w:val="12D167AA"/>
    <w:rsid w:val="130D0D24"/>
    <w:rsid w:val="13326CC5"/>
    <w:rsid w:val="13826402"/>
    <w:rsid w:val="1384217A"/>
    <w:rsid w:val="13A42136"/>
    <w:rsid w:val="14C710A8"/>
    <w:rsid w:val="14CD7B51"/>
    <w:rsid w:val="150B58AE"/>
    <w:rsid w:val="151A266A"/>
    <w:rsid w:val="15CB5DD3"/>
    <w:rsid w:val="160067D9"/>
    <w:rsid w:val="160846A5"/>
    <w:rsid w:val="16161084"/>
    <w:rsid w:val="161A4308"/>
    <w:rsid w:val="163254BE"/>
    <w:rsid w:val="165F5FD9"/>
    <w:rsid w:val="16D13B64"/>
    <w:rsid w:val="16E04FC6"/>
    <w:rsid w:val="1725740C"/>
    <w:rsid w:val="17470EF1"/>
    <w:rsid w:val="1776514E"/>
    <w:rsid w:val="17CB192C"/>
    <w:rsid w:val="17FC2567"/>
    <w:rsid w:val="18356139"/>
    <w:rsid w:val="188B110E"/>
    <w:rsid w:val="18910936"/>
    <w:rsid w:val="18B03A11"/>
    <w:rsid w:val="18C221F9"/>
    <w:rsid w:val="18CD08A1"/>
    <w:rsid w:val="19014CAF"/>
    <w:rsid w:val="193D7353"/>
    <w:rsid w:val="197462BA"/>
    <w:rsid w:val="199F6F5F"/>
    <w:rsid w:val="19AE61A3"/>
    <w:rsid w:val="1A28231A"/>
    <w:rsid w:val="1A4E237A"/>
    <w:rsid w:val="1B267FBB"/>
    <w:rsid w:val="1BBF1850"/>
    <w:rsid w:val="1C047A3E"/>
    <w:rsid w:val="1C1804EA"/>
    <w:rsid w:val="1C2300FB"/>
    <w:rsid w:val="1C9A2F02"/>
    <w:rsid w:val="1CDB4C0A"/>
    <w:rsid w:val="1CE43C8A"/>
    <w:rsid w:val="1D745AA6"/>
    <w:rsid w:val="1E1A2095"/>
    <w:rsid w:val="1E2E78B2"/>
    <w:rsid w:val="1E3A680D"/>
    <w:rsid w:val="1E48054C"/>
    <w:rsid w:val="1E4C42FA"/>
    <w:rsid w:val="1E5A11E8"/>
    <w:rsid w:val="1EAC1325"/>
    <w:rsid w:val="1EE00915"/>
    <w:rsid w:val="1F4F5F36"/>
    <w:rsid w:val="1F606D74"/>
    <w:rsid w:val="1F833B28"/>
    <w:rsid w:val="20085EE1"/>
    <w:rsid w:val="205F59D0"/>
    <w:rsid w:val="20931D81"/>
    <w:rsid w:val="20CE6D52"/>
    <w:rsid w:val="20E24984"/>
    <w:rsid w:val="20EF2BFD"/>
    <w:rsid w:val="219805DB"/>
    <w:rsid w:val="21AE2EDA"/>
    <w:rsid w:val="224551CB"/>
    <w:rsid w:val="229C5AE9"/>
    <w:rsid w:val="233203DD"/>
    <w:rsid w:val="2342170A"/>
    <w:rsid w:val="234D23FA"/>
    <w:rsid w:val="246622C5"/>
    <w:rsid w:val="25B957D2"/>
    <w:rsid w:val="25D60CFE"/>
    <w:rsid w:val="260F1B38"/>
    <w:rsid w:val="261B4D32"/>
    <w:rsid w:val="2661459D"/>
    <w:rsid w:val="26777D2F"/>
    <w:rsid w:val="26A87F18"/>
    <w:rsid w:val="26FF2956"/>
    <w:rsid w:val="271E1505"/>
    <w:rsid w:val="273F3B6A"/>
    <w:rsid w:val="274E0EEF"/>
    <w:rsid w:val="279369D8"/>
    <w:rsid w:val="27D642D6"/>
    <w:rsid w:val="27FC2BB9"/>
    <w:rsid w:val="280D6C9B"/>
    <w:rsid w:val="291805BC"/>
    <w:rsid w:val="2944442E"/>
    <w:rsid w:val="297974EE"/>
    <w:rsid w:val="29B34A3B"/>
    <w:rsid w:val="2A590434"/>
    <w:rsid w:val="2A8645D2"/>
    <w:rsid w:val="2AF479DB"/>
    <w:rsid w:val="2B017AE4"/>
    <w:rsid w:val="2B1C0A93"/>
    <w:rsid w:val="2B1E480B"/>
    <w:rsid w:val="2B4C75CA"/>
    <w:rsid w:val="2B5B780D"/>
    <w:rsid w:val="2BD42BB5"/>
    <w:rsid w:val="2BE37795"/>
    <w:rsid w:val="2C7F5656"/>
    <w:rsid w:val="2CBF3DCB"/>
    <w:rsid w:val="2D0871C8"/>
    <w:rsid w:val="2D804734"/>
    <w:rsid w:val="2DC55411"/>
    <w:rsid w:val="2F885129"/>
    <w:rsid w:val="2FA71273"/>
    <w:rsid w:val="2FC46822"/>
    <w:rsid w:val="2FCD67FF"/>
    <w:rsid w:val="303B772F"/>
    <w:rsid w:val="31696757"/>
    <w:rsid w:val="31DE1D58"/>
    <w:rsid w:val="321F68F6"/>
    <w:rsid w:val="32741B27"/>
    <w:rsid w:val="32B819E9"/>
    <w:rsid w:val="32F103D0"/>
    <w:rsid w:val="331210F9"/>
    <w:rsid w:val="33185FE3"/>
    <w:rsid w:val="331B468F"/>
    <w:rsid w:val="334F5FA3"/>
    <w:rsid w:val="335229B5"/>
    <w:rsid w:val="338D6342"/>
    <w:rsid w:val="33B8055B"/>
    <w:rsid w:val="340824FC"/>
    <w:rsid w:val="34214AFA"/>
    <w:rsid w:val="34F46CC2"/>
    <w:rsid w:val="34F9242A"/>
    <w:rsid w:val="353A3B9A"/>
    <w:rsid w:val="353D648E"/>
    <w:rsid w:val="35584DBD"/>
    <w:rsid w:val="35834C4F"/>
    <w:rsid w:val="35B5220F"/>
    <w:rsid w:val="35F033B2"/>
    <w:rsid w:val="36556989"/>
    <w:rsid w:val="365F25F1"/>
    <w:rsid w:val="36633A19"/>
    <w:rsid w:val="367B459C"/>
    <w:rsid w:val="36B02E3E"/>
    <w:rsid w:val="36DE12F2"/>
    <w:rsid w:val="37871C5F"/>
    <w:rsid w:val="37DF5322"/>
    <w:rsid w:val="38C14F85"/>
    <w:rsid w:val="38D95C84"/>
    <w:rsid w:val="395152B1"/>
    <w:rsid w:val="396B17C1"/>
    <w:rsid w:val="39C7397A"/>
    <w:rsid w:val="39C922D2"/>
    <w:rsid w:val="3A0E3D7F"/>
    <w:rsid w:val="3A1B148B"/>
    <w:rsid w:val="3AC96BFA"/>
    <w:rsid w:val="3B0B0E31"/>
    <w:rsid w:val="3B90705F"/>
    <w:rsid w:val="3BA42B0A"/>
    <w:rsid w:val="3C5E1386"/>
    <w:rsid w:val="3C6A376B"/>
    <w:rsid w:val="3C9C7C85"/>
    <w:rsid w:val="3CAD3871"/>
    <w:rsid w:val="3D0E6612"/>
    <w:rsid w:val="3D794C69"/>
    <w:rsid w:val="3E247F32"/>
    <w:rsid w:val="3E4459B8"/>
    <w:rsid w:val="3E9926CE"/>
    <w:rsid w:val="3EED0255"/>
    <w:rsid w:val="3F010273"/>
    <w:rsid w:val="3F177A97"/>
    <w:rsid w:val="3F2B6D25"/>
    <w:rsid w:val="3F6658E6"/>
    <w:rsid w:val="3F695BF8"/>
    <w:rsid w:val="3F6F6A24"/>
    <w:rsid w:val="3FD80FD4"/>
    <w:rsid w:val="3FF50ECF"/>
    <w:rsid w:val="40E57C57"/>
    <w:rsid w:val="40FE523C"/>
    <w:rsid w:val="410C5707"/>
    <w:rsid w:val="42365619"/>
    <w:rsid w:val="42A539CE"/>
    <w:rsid w:val="42CC4813"/>
    <w:rsid w:val="434D4C01"/>
    <w:rsid w:val="435C04A2"/>
    <w:rsid w:val="43E11412"/>
    <w:rsid w:val="43FC748C"/>
    <w:rsid w:val="440525B4"/>
    <w:rsid w:val="44093E52"/>
    <w:rsid w:val="446F1C68"/>
    <w:rsid w:val="45264590"/>
    <w:rsid w:val="45961716"/>
    <w:rsid w:val="45A35BE1"/>
    <w:rsid w:val="460F14C8"/>
    <w:rsid w:val="46C61D41"/>
    <w:rsid w:val="47150D60"/>
    <w:rsid w:val="471748B1"/>
    <w:rsid w:val="477E6B3A"/>
    <w:rsid w:val="47943CC6"/>
    <w:rsid w:val="47B42CE1"/>
    <w:rsid w:val="48053ACE"/>
    <w:rsid w:val="480A1F47"/>
    <w:rsid w:val="48147269"/>
    <w:rsid w:val="483D1D78"/>
    <w:rsid w:val="48517B76"/>
    <w:rsid w:val="487E765D"/>
    <w:rsid w:val="492522E2"/>
    <w:rsid w:val="49380D36"/>
    <w:rsid w:val="49CE695A"/>
    <w:rsid w:val="4AE66BEE"/>
    <w:rsid w:val="4AF131EF"/>
    <w:rsid w:val="4AF40C8C"/>
    <w:rsid w:val="4B407715"/>
    <w:rsid w:val="4BA83F51"/>
    <w:rsid w:val="4BBB7216"/>
    <w:rsid w:val="4C6A7458"/>
    <w:rsid w:val="4C813C70"/>
    <w:rsid w:val="4C84212F"/>
    <w:rsid w:val="4CA236C3"/>
    <w:rsid w:val="4D096C71"/>
    <w:rsid w:val="4D950505"/>
    <w:rsid w:val="4DA154D9"/>
    <w:rsid w:val="4DAB7D28"/>
    <w:rsid w:val="4E12758F"/>
    <w:rsid w:val="4E214286"/>
    <w:rsid w:val="4E33426F"/>
    <w:rsid w:val="4E8862BB"/>
    <w:rsid w:val="4F0155EE"/>
    <w:rsid w:val="4F452E71"/>
    <w:rsid w:val="4F5947DB"/>
    <w:rsid w:val="4F6A7329"/>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5604E0"/>
    <w:rsid w:val="517448D5"/>
    <w:rsid w:val="518C7E71"/>
    <w:rsid w:val="519A2708"/>
    <w:rsid w:val="51F103B2"/>
    <w:rsid w:val="520C50B4"/>
    <w:rsid w:val="521F0CE5"/>
    <w:rsid w:val="53185506"/>
    <w:rsid w:val="53B51932"/>
    <w:rsid w:val="54A24E32"/>
    <w:rsid w:val="55F650BF"/>
    <w:rsid w:val="561B7217"/>
    <w:rsid w:val="56FD00CF"/>
    <w:rsid w:val="57027519"/>
    <w:rsid w:val="572629E8"/>
    <w:rsid w:val="575C092A"/>
    <w:rsid w:val="577E7095"/>
    <w:rsid w:val="578C2978"/>
    <w:rsid w:val="57A646D9"/>
    <w:rsid w:val="57DD1426"/>
    <w:rsid w:val="5877685D"/>
    <w:rsid w:val="589A1FD6"/>
    <w:rsid w:val="59394663"/>
    <w:rsid w:val="59975605"/>
    <w:rsid w:val="59AA78C5"/>
    <w:rsid w:val="59C3464B"/>
    <w:rsid w:val="59FD045D"/>
    <w:rsid w:val="5A177BA2"/>
    <w:rsid w:val="5A1F15C9"/>
    <w:rsid w:val="5A6F20DD"/>
    <w:rsid w:val="5B1C5C72"/>
    <w:rsid w:val="5B404577"/>
    <w:rsid w:val="5B73375B"/>
    <w:rsid w:val="5BDE576D"/>
    <w:rsid w:val="5C1E4010"/>
    <w:rsid w:val="5C844822"/>
    <w:rsid w:val="5CBB16CF"/>
    <w:rsid w:val="5CBC3D00"/>
    <w:rsid w:val="5CC46711"/>
    <w:rsid w:val="5D0A091D"/>
    <w:rsid w:val="5D105DFA"/>
    <w:rsid w:val="5D4930BA"/>
    <w:rsid w:val="5D770C37"/>
    <w:rsid w:val="5DF57F28"/>
    <w:rsid w:val="5E24773B"/>
    <w:rsid w:val="5E3B3C08"/>
    <w:rsid w:val="5E800D5D"/>
    <w:rsid w:val="5EEA61D6"/>
    <w:rsid w:val="5EEC63F2"/>
    <w:rsid w:val="5EF01530"/>
    <w:rsid w:val="5F1576F7"/>
    <w:rsid w:val="5FA041B9"/>
    <w:rsid w:val="5FBE4D46"/>
    <w:rsid w:val="60997EB4"/>
    <w:rsid w:val="611963CD"/>
    <w:rsid w:val="616E573B"/>
    <w:rsid w:val="62B92A90"/>
    <w:rsid w:val="62E34874"/>
    <w:rsid w:val="62E8147A"/>
    <w:rsid w:val="630B132E"/>
    <w:rsid w:val="634A321E"/>
    <w:rsid w:val="639062F6"/>
    <w:rsid w:val="63C06196"/>
    <w:rsid w:val="63DD0CDE"/>
    <w:rsid w:val="64147AC3"/>
    <w:rsid w:val="64201F2E"/>
    <w:rsid w:val="64312291"/>
    <w:rsid w:val="64322AF9"/>
    <w:rsid w:val="647B323D"/>
    <w:rsid w:val="649C3D0A"/>
    <w:rsid w:val="653B5642"/>
    <w:rsid w:val="654C28BC"/>
    <w:rsid w:val="65A840EC"/>
    <w:rsid w:val="65B92402"/>
    <w:rsid w:val="65C06F7D"/>
    <w:rsid w:val="65F358C4"/>
    <w:rsid w:val="66884C53"/>
    <w:rsid w:val="66E77BCB"/>
    <w:rsid w:val="67645183"/>
    <w:rsid w:val="679C60E3"/>
    <w:rsid w:val="683A590B"/>
    <w:rsid w:val="683A5F02"/>
    <w:rsid w:val="6845574B"/>
    <w:rsid w:val="685376AF"/>
    <w:rsid w:val="68F57755"/>
    <w:rsid w:val="695F47F3"/>
    <w:rsid w:val="696A6892"/>
    <w:rsid w:val="69CA7330"/>
    <w:rsid w:val="69F148BD"/>
    <w:rsid w:val="6A3B5FBD"/>
    <w:rsid w:val="6A497336"/>
    <w:rsid w:val="6B3C6A30"/>
    <w:rsid w:val="6B8F25DF"/>
    <w:rsid w:val="6C7D4B2E"/>
    <w:rsid w:val="6CB06CB1"/>
    <w:rsid w:val="6CEB5ACA"/>
    <w:rsid w:val="6DBB3B60"/>
    <w:rsid w:val="6E6C7C05"/>
    <w:rsid w:val="6F2B2544"/>
    <w:rsid w:val="6F4060E9"/>
    <w:rsid w:val="706B5A59"/>
    <w:rsid w:val="70A04FBC"/>
    <w:rsid w:val="70BD3D49"/>
    <w:rsid w:val="71D90A58"/>
    <w:rsid w:val="72041505"/>
    <w:rsid w:val="72317325"/>
    <w:rsid w:val="726E73F3"/>
    <w:rsid w:val="72872262"/>
    <w:rsid w:val="72A863A1"/>
    <w:rsid w:val="73403ED7"/>
    <w:rsid w:val="740946D6"/>
    <w:rsid w:val="740B2A1F"/>
    <w:rsid w:val="740D49E9"/>
    <w:rsid w:val="74566E86"/>
    <w:rsid w:val="745A5137"/>
    <w:rsid w:val="754B7177"/>
    <w:rsid w:val="75631CAE"/>
    <w:rsid w:val="75E11C8A"/>
    <w:rsid w:val="76462308"/>
    <w:rsid w:val="772665FC"/>
    <w:rsid w:val="772B48E7"/>
    <w:rsid w:val="775F740B"/>
    <w:rsid w:val="77CD6E56"/>
    <w:rsid w:val="785C7CED"/>
    <w:rsid w:val="78610694"/>
    <w:rsid w:val="788A13BF"/>
    <w:rsid w:val="78A377B2"/>
    <w:rsid w:val="793A002E"/>
    <w:rsid w:val="79404F19"/>
    <w:rsid w:val="797C2D3C"/>
    <w:rsid w:val="79C35626"/>
    <w:rsid w:val="79E42D9A"/>
    <w:rsid w:val="7A314C2F"/>
    <w:rsid w:val="7A3727C0"/>
    <w:rsid w:val="7AAD7251"/>
    <w:rsid w:val="7ABC00E2"/>
    <w:rsid w:val="7B0074FE"/>
    <w:rsid w:val="7B061127"/>
    <w:rsid w:val="7B503B8C"/>
    <w:rsid w:val="7B727157"/>
    <w:rsid w:val="7B8437E3"/>
    <w:rsid w:val="7BD64713"/>
    <w:rsid w:val="7BD80171"/>
    <w:rsid w:val="7BDB223D"/>
    <w:rsid w:val="7C081A90"/>
    <w:rsid w:val="7C0B3F04"/>
    <w:rsid w:val="7C2571BC"/>
    <w:rsid w:val="7C9E5DD3"/>
    <w:rsid w:val="7CA15039"/>
    <w:rsid w:val="7CD54AA1"/>
    <w:rsid w:val="7D240BEB"/>
    <w:rsid w:val="7D8D41BC"/>
    <w:rsid w:val="7E5E656D"/>
    <w:rsid w:val="7E6E42D6"/>
    <w:rsid w:val="7E894D3F"/>
    <w:rsid w:val="7EA146AC"/>
    <w:rsid w:val="7F563156"/>
    <w:rsid w:val="7F912972"/>
    <w:rsid w:val="7FB77AFD"/>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32"/>
    <w:autoRedefine/>
    <w:unhideWhenUsed/>
    <w:qFormat/>
    <w:uiPriority w:val="9"/>
    <w:pPr>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33"/>
    <w:autoRedefine/>
    <w:unhideWhenUsed/>
    <w:qFormat/>
    <w:uiPriority w:val="9"/>
    <w:pPr>
      <w:numPr>
        <w:ilvl w:val="2"/>
      </w:numPr>
      <w:outlineLvl w:val="2"/>
    </w:pPr>
    <w:rPr>
      <w:sz w:val="32"/>
    </w:rPr>
  </w:style>
  <w:style w:type="paragraph" w:styleId="5">
    <w:name w:val="heading 4"/>
    <w:basedOn w:val="4"/>
    <w:next w:val="1"/>
    <w:link w:val="38"/>
    <w:autoRedefine/>
    <w:qFormat/>
    <w:uiPriority w:val="0"/>
    <w:pPr>
      <w:numPr>
        <w:ilvl w:val="3"/>
      </w:numPr>
      <w:spacing w:before="240" w:after="60"/>
      <w:jc w:val="left"/>
      <w:outlineLvl w:val="3"/>
    </w:pPr>
    <w:rPr>
      <w:rFonts w:ascii="Times New Roman" w:hAnsi="Times New Roman" w:eastAsia="MS Mincho" w:cs="Times New Roman"/>
      <w:sz w:val="28"/>
      <w:szCs w:val="28"/>
    </w:rPr>
  </w:style>
  <w:style w:type="paragraph" w:styleId="6">
    <w:name w:val="heading 5"/>
    <w:basedOn w:val="5"/>
    <w:next w:val="1"/>
    <w:link w:val="39"/>
    <w:autoRedefine/>
    <w:qFormat/>
    <w:uiPriority w:val="0"/>
    <w:pPr>
      <w:numPr>
        <w:ilvl w:val="4"/>
      </w:numPr>
      <w:spacing w:before="280" w:after="290" w:line="376" w:lineRule="auto"/>
      <w:outlineLvl w:val="4"/>
    </w:pPr>
    <w:rPr>
      <w:rFonts w:eastAsia="Times New Roman"/>
    </w:rPr>
  </w:style>
  <w:style w:type="paragraph" w:styleId="7">
    <w:name w:val="heading 6"/>
    <w:basedOn w:val="1"/>
    <w:next w:val="1"/>
    <w:link w:val="40"/>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41"/>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42"/>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3"/>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5"/>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9"/>
    <w:autoRedefine/>
    <w:semiHidden/>
    <w:unhideWhenUsed/>
    <w:qFormat/>
    <w:uiPriority w:val="99"/>
    <w:pPr>
      <w:jc w:val="left"/>
    </w:pPr>
  </w:style>
  <w:style w:type="paragraph" w:styleId="13">
    <w:name w:val="Body Text"/>
    <w:basedOn w:val="1"/>
    <w:link w:val="26"/>
    <w:autoRedefine/>
    <w:qFormat/>
    <w:uiPriority w:val="0"/>
    <w:pPr>
      <w:adjustRightInd w:val="0"/>
      <w:snapToGrid w:val="0"/>
      <w:spacing w:line="360" w:lineRule="auto"/>
      <w:ind w:firstLine="420"/>
    </w:pPr>
    <w:rPr>
      <w:rFonts w:eastAsia="楷体"/>
      <w:snapToGrid w:val="0"/>
    </w:rPr>
  </w:style>
  <w:style w:type="paragraph" w:styleId="14">
    <w:name w:val="Balloon Text"/>
    <w:basedOn w:val="1"/>
    <w:link w:val="51"/>
    <w:autoRedefine/>
    <w:semiHidden/>
    <w:unhideWhenUsed/>
    <w:qFormat/>
    <w:uiPriority w:val="99"/>
    <w:rPr>
      <w:sz w:val="18"/>
      <w:szCs w:val="18"/>
    </w:rPr>
  </w:style>
  <w:style w:type="paragraph" w:styleId="15">
    <w:name w:val="footer"/>
    <w:basedOn w:val="1"/>
    <w:link w:val="48"/>
    <w:autoRedefine/>
    <w:unhideWhenUsed/>
    <w:qFormat/>
    <w:uiPriority w:val="99"/>
    <w:pPr>
      <w:tabs>
        <w:tab w:val="center" w:pos="4153"/>
        <w:tab w:val="right" w:pos="8306"/>
      </w:tabs>
      <w:snapToGrid w:val="0"/>
      <w:jc w:val="left"/>
    </w:pPr>
    <w:rPr>
      <w:sz w:val="18"/>
      <w:szCs w:val="18"/>
    </w:rPr>
  </w:style>
  <w:style w:type="paragraph" w:styleId="16">
    <w:name w:val="header"/>
    <w:basedOn w:val="1"/>
    <w:link w:val="4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19">
    <w:name w:val="annotation subject"/>
    <w:basedOn w:val="12"/>
    <w:next w:val="12"/>
    <w:link w:val="50"/>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bCs/>
    </w:rPr>
  </w:style>
  <w:style w:type="character" w:styleId="24">
    <w:name w:val="FollowedHyperlink"/>
    <w:basedOn w:val="22"/>
    <w:qFormat/>
    <w:uiPriority w:val="0"/>
    <w:rPr>
      <w:color w:val="800080"/>
      <w:u w:val="single"/>
    </w:rPr>
  </w:style>
  <w:style w:type="character" w:styleId="25">
    <w:name w:val="Hyperlink"/>
    <w:basedOn w:val="26"/>
    <w:qFormat/>
    <w:uiPriority w:val="0"/>
    <w:rPr>
      <w:color w:val="5B9BD5" w:themeColor="accent1"/>
      <w14:textFill>
        <w14:solidFill>
          <w14:schemeClr w14:val="accent1"/>
        </w14:solidFill>
      </w14:textFill>
    </w:rPr>
  </w:style>
  <w:style w:type="character" w:customStyle="1" w:styleId="26">
    <w:name w:val="Body Text Char"/>
    <w:basedOn w:val="22"/>
    <w:link w:val="13"/>
    <w:qFormat/>
    <w:uiPriority w:val="0"/>
    <w:rPr>
      <w:rFonts w:eastAsia="楷体"/>
      <w:snapToGrid w:val="0"/>
    </w:rPr>
  </w:style>
  <w:style w:type="character" w:styleId="27">
    <w:name w:val="annotation reference"/>
    <w:basedOn w:val="22"/>
    <w:autoRedefine/>
    <w:unhideWhenUsed/>
    <w:qFormat/>
    <w:uiPriority w:val="99"/>
    <w:rPr>
      <w:sz w:val="16"/>
      <w:szCs w:val="16"/>
    </w:rPr>
  </w:style>
  <w:style w:type="paragraph" w:customStyle="1" w:styleId="28">
    <w:name w:val="Doc-title"/>
    <w:basedOn w:val="1"/>
    <w:next w:val="29"/>
    <w:autoRedefine/>
    <w:qFormat/>
    <w:uiPriority w:val="0"/>
    <w:pPr>
      <w:spacing w:before="60"/>
      <w:ind w:left="1259" w:hanging="1259"/>
    </w:pPr>
  </w:style>
  <w:style w:type="paragraph" w:customStyle="1" w:styleId="29">
    <w:name w:val="Doc-text2"/>
    <w:basedOn w:val="1"/>
    <w:autoRedefine/>
    <w:qFormat/>
    <w:uiPriority w:val="0"/>
    <w:pPr>
      <w:tabs>
        <w:tab w:val="left" w:pos="1622"/>
      </w:tabs>
      <w:ind w:left="1622" w:hanging="363"/>
    </w:pPr>
  </w:style>
  <w:style w:type="character" w:customStyle="1" w:styleId="30">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31">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2">
    <w:name w:val="标题 2 字符"/>
    <w:basedOn w:val="22"/>
    <w:link w:val="3"/>
    <w:autoRedefine/>
    <w:qFormat/>
    <w:uiPriority w:val="9"/>
    <w:rPr>
      <w:rFonts w:eastAsia="Times New Roman" w:asciiTheme="majorHAnsi" w:hAnsiTheme="majorHAnsi" w:cstheme="majorBidi"/>
      <w:b/>
      <w:bCs/>
      <w:sz w:val="18"/>
      <w:szCs w:val="32"/>
    </w:rPr>
  </w:style>
  <w:style w:type="character" w:customStyle="1" w:styleId="33">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34">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5">
    <w:name w:val="题注 字符"/>
    <w:link w:val="11"/>
    <w:autoRedefine/>
    <w:qFormat/>
    <w:locked/>
    <w:uiPriority w:val="35"/>
    <w:rPr>
      <w:rFonts w:ascii="Times New Roman" w:hAnsi="Times New Roman" w:eastAsia="Times New Roman" w:cs="Times New Roman"/>
      <w:b/>
      <w:bCs/>
      <w:kern w:val="0"/>
      <w:sz w:val="24"/>
      <w:szCs w:val="24"/>
      <w:lang w:eastAsia="en-US"/>
    </w:rPr>
  </w:style>
  <w:style w:type="paragraph" w:styleId="36">
    <w:name w:val="List Paragraph"/>
    <w:basedOn w:val="1"/>
    <w:link w:val="37"/>
    <w:autoRedefine/>
    <w:qFormat/>
    <w:uiPriority w:val="34"/>
    <w:pPr>
      <w:widowControl/>
      <w:ind w:left="720"/>
      <w:jc w:val="left"/>
    </w:pPr>
    <w:rPr>
      <w:rFonts w:ascii="Calibri" w:hAnsi="Calibri" w:eastAsia="Calibri" w:cs="Times New Roman"/>
      <w:kern w:val="0"/>
      <w:sz w:val="22"/>
      <w:lang w:eastAsia="en-US"/>
    </w:rPr>
  </w:style>
  <w:style w:type="character" w:customStyle="1" w:styleId="37">
    <w:name w:val="列出段落 字符"/>
    <w:link w:val="36"/>
    <w:autoRedefine/>
    <w:qFormat/>
    <w:locked/>
    <w:uiPriority w:val="34"/>
    <w:rPr>
      <w:rFonts w:ascii="Calibri" w:hAnsi="Calibri" w:eastAsia="Calibri" w:cs="Times New Roman"/>
      <w:kern w:val="0"/>
      <w:sz w:val="22"/>
      <w:lang w:eastAsia="en-US"/>
    </w:rPr>
  </w:style>
  <w:style w:type="character" w:customStyle="1" w:styleId="38">
    <w:name w:val="标题 4 字符"/>
    <w:basedOn w:val="22"/>
    <w:link w:val="5"/>
    <w:autoRedefine/>
    <w:qFormat/>
    <w:uiPriority w:val="0"/>
    <w:rPr>
      <w:rFonts w:ascii="Times New Roman" w:hAnsi="Times New Roman" w:eastAsia="MS Mincho" w:cs="Times New Roman"/>
      <w:b/>
      <w:bCs/>
      <w:kern w:val="0"/>
      <w:sz w:val="28"/>
      <w:szCs w:val="28"/>
      <w:lang w:eastAsia="en-US"/>
    </w:rPr>
  </w:style>
  <w:style w:type="character" w:customStyle="1" w:styleId="39">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40">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41">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42">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43">
    <w:name w:val="标题 9 字符"/>
    <w:basedOn w:val="22"/>
    <w:link w:val="10"/>
    <w:autoRedefine/>
    <w:qFormat/>
    <w:uiPriority w:val="0"/>
    <w:rPr>
      <w:rFonts w:ascii="Arial" w:hAnsi="Arial" w:eastAsia="黑体" w:cs="Times New Roman"/>
      <w:kern w:val="0"/>
      <w:szCs w:val="21"/>
      <w:lang w:eastAsia="en-US"/>
    </w:rPr>
  </w:style>
  <w:style w:type="paragraph" w:customStyle="1" w:styleId="44">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5">
    <w:name w:val="B1"/>
    <w:basedOn w:val="17"/>
    <w:autoRedefine/>
    <w:qFormat/>
    <w:uiPriority w:val="0"/>
  </w:style>
  <w:style w:type="paragraph" w:customStyle="1" w:styleId="46">
    <w:name w:val="NO"/>
    <w:basedOn w:val="1"/>
    <w:autoRedefine/>
    <w:qFormat/>
    <w:uiPriority w:val="0"/>
    <w:pPr>
      <w:keepLines/>
      <w:ind w:left="1135" w:hanging="851"/>
    </w:pPr>
  </w:style>
  <w:style w:type="character" w:customStyle="1" w:styleId="47">
    <w:name w:val="页眉 字符"/>
    <w:basedOn w:val="22"/>
    <w:link w:val="16"/>
    <w:autoRedefine/>
    <w:qFormat/>
    <w:uiPriority w:val="99"/>
    <w:rPr>
      <w:rFonts w:asciiTheme="minorHAnsi" w:hAnsiTheme="minorHAnsi" w:eastAsiaTheme="minorEastAsia" w:cstheme="minorBidi"/>
      <w:kern w:val="2"/>
      <w:sz w:val="18"/>
      <w:szCs w:val="18"/>
    </w:rPr>
  </w:style>
  <w:style w:type="character" w:customStyle="1" w:styleId="48">
    <w:name w:val="页脚 字符"/>
    <w:basedOn w:val="22"/>
    <w:link w:val="15"/>
    <w:autoRedefine/>
    <w:qFormat/>
    <w:uiPriority w:val="99"/>
    <w:rPr>
      <w:rFonts w:asciiTheme="minorHAnsi" w:hAnsiTheme="minorHAnsi" w:eastAsiaTheme="minorEastAsia" w:cstheme="minorBidi"/>
      <w:kern w:val="2"/>
      <w:sz w:val="18"/>
      <w:szCs w:val="18"/>
    </w:rPr>
  </w:style>
  <w:style w:type="character" w:customStyle="1" w:styleId="49">
    <w:name w:val="批注文字 字符"/>
    <w:basedOn w:val="22"/>
    <w:link w:val="12"/>
    <w:autoRedefine/>
    <w:semiHidden/>
    <w:qFormat/>
    <w:uiPriority w:val="99"/>
    <w:rPr>
      <w:rFonts w:asciiTheme="minorHAnsi" w:hAnsiTheme="minorHAnsi" w:eastAsiaTheme="minorEastAsia" w:cstheme="minorBidi"/>
      <w:kern w:val="2"/>
      <w:sz w:val="21"/>
      <w:szCs w:val="22"/>
    </w:rPr>
  </w:style>
  <w:style w:type="character" w:customStyle="1" w:styleId="50">
    <w:name w:val="批注主题 字符"/>
    <w:basedOn w:val="49"/>
    <w:link w:val="19"/>
    <w:autoRedefine/>
    <w:semiHidden/>
    <w:qFormat/>
    <w:uiPriority w:val="99"/>
    <w:rPr>
      <w:rFonts w:asciiTheme="minorHAnsi" w:hAnsiTheme="minorHAnsi" w:eastAsiaTheme="minorEastAsia" w:cstheme="minorBidi"/>
      <w:b/>
      <w:bCs/>
      <w:kern w:val="2"/>
      <w:sz w:val="21"/>
      <w:szCs w:val="22"/>
    </w:rPr>
  </w:style>
  <w:style w:type="character" w:customStyle="1" w:styleId="51">
    <w:name w:val="批注框文本 字符"/>
    <w:basedOn w:val="22"/>
    <w:link w:val="14"/>
    <w:autoRedefine/>
    <w:semiHidden/>
    <w:qFormat/>
    <w:uiPriority w:val="99"/>
    <w:rPr>
      <w:rFonts w:asciiTheme="minorHAnsi" w:hAnsiTheme="minorHAnsi" w:eastAsiaTheme="minorEastAsia" w:cstheme="minorBidi"/>
      <w:kern w:val="2"/>
      <w:sz w:val="18"/>
      <w:szCs w:val="18"/>
    </w:rPr>
  </w:style>
  <w:style w:type="paragraph" w:customStyle="1" w:styleId="52">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3">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4">
    <w:name w:val="Comments"/>
    <w:basedOn w:val="1"/>
    <w:autoRedefine/>
    <w:qFormat/>
    <w:uiPriority w:val="0"/>
    <w:rPr>
      <w:i/>
      <w:sz w:val="18"/>
    </w:rPr>
  </w:style>
  <w:style w:type="paragraph" w:customStyle="1" w:styleId="55">
    <w:name w:val="B2"/>
    <w:basedOn w:val="1"/>
    <w:autoRedefine/>
    <w:qFormat/>
    <w:uiPriority w:val="0"/>
    <w:pPr>
      <w:ind w:left="851" w:hanging="284"/>
    </w:pPr>
  </w:style>
  <w:style w:type="paragraph" w:customStyle="1" w:styleId="56">
    <w:name w:val="B3"/>
    <w:basedOn w:val="1"/>
    <w:autoRedefine/>
    <w:qFormat/>
    <w:uiPriority w:val="0"/>
    <w:pPr>
      <w:ind w:left="1135" w:hanging="284"/>
    </w:pPr>
  </w:style>
  <w:style w:type="paragraph" w:customStyle="1" w:styleId="57">
    <w:name w:val="Agreement"/>
    <w:basedOn w:val="1"/>
    <w:next w:val="29"/>
    <w:autoRedefine/>
    <w:qFormat/>
    <w:uiPriority w:val="99"/>
    <w:pPr>
      <w:numPr>
        <w:ilvl w:val="0"/>
        <w:numId w:val="2"/>
      </w:numPr>
      <w:tabs>
        <w:tab w:val="left" w:pos="1619"/>
        <w:tab w:val="clear" w:pos="2039"/>
      </w:tabs>
      <w:spacing w:before="60"/>
    </w:pPr>
    <w:rPr>
      <w:b/>
    </w:rPr>
  </w:style>
  <w:style w:type="paragraph" w:customStyle="1" w:styleId="58">
    <w:name w:val="First Paragraph"/>
    <w:basedOn w:val="13"/>
    <w:next w:val="13"/>
    <w:qFormat/>
    <w:uiPriority w:val="0"/>
  </w:style>
  <w:style w:type="paragraph" w:customStyle="1" w:styleId="59">
    <w:name w:val="ds-markdown-paragraph"/>
    <w:basedOn w:val="1"/>
    <w:qFormat/>
    <w:uiPriority w:val="0"/>
    <w:pPr>
      <w:widowControl/>
      <w:spacing w:before="100" w:beforeAutospacing="1" w:after="100" w:afterAutospacing="1"/>
      <w:jc w:val="left"/>
    </w:pPr>
    <w:rPr>
      <w:rFonts w:ascii="Times New Roman" w:hAnsi="Times New Roman" w:eastAsia="Times New Roman" w:cs="Times New Roman"/>
      <w:kern w:val="0"/>
      <w:sz w:val="24"/>
      <w:szCs w:val="24"/>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Microsoft_Visio_2003-2010___1.vsd"/><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2382</Words>
  <Characters>13859</Characters>
  <Lines>52</Lines>
  <Paragraphs>14</Paragraphs>
  <TotalTime>11</TotalTime>
  <ScaleCrop>false</ScaleCrop>
  <LinksUpToDate>false</LinksUpToDate>
  <CharactersWithSpaces>16169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2025-10-03T01:51:30Z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508AFE6302BD475CBCFE076979C7140E_13</vt:lpwstr>
  </property>
  <property fmtid="{D5CDD505-2E9C-101B-9397-08002B2CF9AE}" pid="4" name="KSOTemplateDocerSaveRecord">
    <vt:lpwstr>eyJoZGlkIjoiYTZkZWNlYTA0MDg2ZTc3NmRlNDJmOGU5YjFkMTIzYmYiLCJ1c2VySWQiOiI1MDMzMTQ0MjYifQ==</vt:lpwstr>
  </property>
</Properties>
</file>